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234D4961"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B00E32">
        <w:rPr>
          <w:rFonts w:asciiTheme="minorHAnsi" w:hAnsiTheme="minorHAnsi" w:cstheme="minorHAnsi"/>
          <w:b/>
          <w:bCs/>
          <w:sz w:val="22"/>
          <w:szCs w:val="22"/>
        </w:rPr>
        <w:t>92</w:t>
      </w:r>
      <w:r w:rsidR="00AE0F31" w:rsidRPr="00AE0F31">
        <w:rPr>
          <w:rFonts w:asciiTheme="minorHAnsi" w:hAnsiTheme="minorHAnsi" w:cstheme="minorHAnsi"/>
          <w:b/>
          <w:bCs/>
          <w:sz w:val="22"/>
          <w:szCs w:val="22"/>
        </w:rPr>
        <w:t>/WZP/2026</w:t>
      </w:r>
      <w:r w:rsidR="00AE0F31">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19AF6F55" w:rsidR="005C2C33" w:rsidRPr="0055784D" w:rsidRDefault="00241A58"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Pr>
          <w:rFonts w:asciiTheme="minorHAnsi" w:hAnsiTheme="minorHAnsi" w:cstheme="minorHAnsi"/>
          <w:sz w:val="22"/>
          <w:szCs w:val="22"/>
        </w:rPr>
        <w:t xml:space="preserve">    </w:t>
      </w:r>
      <w:r w:rsidR="00F04F9B"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Pr>
          <w:rFonts w:asciiTheme="minorHAnsi" w:hAnsiTheme="minorHAnsi" w:cstheme="minorHAnsi"/>
          <w:b/>
          <w:bCs/>
          <w:sz w:val="22"/>
          <w:szCs w:val="22"/>
        </w:rPr>
        <w:t>2</w:t>
      </w:r>
      <w:r w:rsidR="00F31AA0">
        <w:rPr>
          <w:rFonts w:asciiTheme="minorHAnsi" w:hAnsiTheme="minorHAnsi" w:cstheme="minorHAnsi"/>
          <w:b/>
          <w:bCs/>
          <w:sz w:val="22"/>
          <w:szCs w:val="22"/>
        </w:rPr>
        <w:t>4</w:t>
      </w:r>
      <w:r w:rsidR="00B218AE">
        <w:rPr>
          <w:rFonts w:asciiTheme="minorHAnsi" w:hAnsiTheme="minorHAnsi" w:cstheme="minorHAnsi"/>
          <w:b/>
          <w:bCs/>
          <w:sz w:val="22"/>
          <w:szCs w:val="22"/>
        </w:rPr>
        <w:t xml:space="preserve"> kwietnia 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4BC38574"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8A3223">
        <w:rPr>
          <w:rFonts w:asciiTheme="minorHAnsi" w:hAnsiTheme="minorHAnsi" w:cstheme="minorHAnsi"/>
          <w:b/>
          <w:bCs/>
          <w:sz w:val="22"/>
          <w:szCs w:val="22"/>
        </w:rPr>
        <w:t>w</w:t>
      </w:r>
      <w:r w:rsidR="008A3223" w:rsidRPr="008A3223">
        <w:rPr>
          <w:rFonts w:asciiTheme="minorHAnsi" w:hAnsiTheme="minorHAnsi" w:cstheme="minorHAnsi"/>
          <w:b/>
          <w:bCs/>
          <w:sz w:val="22"/>
          <w:szCs w:val="22"/>
        </w:rPr>
        <w:t xml:space="preserve">ykonanie </w:t>
      </w:r>
      <w:r w:rsidR="006C0647">
        <w:rPr>
          <w:rFonts w:asciiTheme="minorHAnsi" w:hAnsiTheme="minorHAnsi" w:cstheme="minorHAnsi"/>
          <w:b/>
          <w:sz w:val="22"/>
          <w:szCs w:val="22"/>
        </w:rPr>
        <w:t>inwentaryzacji drzew owocowych na terenie pasa zieleni</w:t>
      </w:r>
      <w:r w:rsidR="004F6C6C">
        <w:rPr>
          <w:rFonts w:asciiTheme="minorHAnsi" w:hAnsiTheme="minorHAnsi" w:cstheme="minorHAnsi"/>
          <w:b/>
          <w:sz w:val="22"/>
          <w:szCs w:val="22"/>
        </w:rPr>
        <w:t xml:space="preserve"> wzdłuż Alei Józefa Becka na wysokości Łachy Siekierkowskiej w ramach realizacji budżetu obywatelskiego nr 1011 -Sad Miejski Siekierki</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603361D7"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r w:rsidR="002A6C9D" w:rsidRPr="0055784D">
        <w:rPr>
          <w:rFonts w:asciiTheme="minorHAnsi" w:hAnsiTheme="minorHAnsi" w:cstheme="minorHAnsi"/>
          <w:sz w:val="22"/>
          <w:szCs w:val="22"/>
        </w:rPr>
        <w:t>tj.</w:t>
      </w:r>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2BC471B2"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w:t>
      </w:r>
      <w:r w:rsidR="0085507B">
        <w:rPr>
          <w:rFonts w:asciiTheme="minorHAnsi" w:hAnsiTheme="minorHAnsi" w:cstheme="minorHAnsi"/>
        </w:rPr>
        <w:t>u</w:t>
      </w:r>
      <w:r w:rsidR="005D2E00" w:rsidRPr="0055784D">
        <w:rPr>
          <w:rFonts w:asciiTheme="minorHAnsi" w:hAnsiTheme="minorHAnsi" w:cstheme="minorHAnsi"/>
        </w:rPr>
        <w:t xml:space="preserve">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4D950937" w14:textId="53CD9F83" w:rsidR="00D365CF" w:rsidRDefault="00D365CF" w:rsidP="00BD0695">
      <w:pPr>
        <w:tabs>
          <w:tab w:val="right" w:leader="dot" w:pos="9072"/>
        </w:tabs>
        <w:spacing w:after="240" w:line="360" w:lineRule="auto"/>
        <w:ind w:right="139"/>
        <w:rPr>
          <w:rFonts w:asciiTheme="minorHAnsi" w:eastAsia="Open Sans" w:hAnsiTheme="minorHAnsi" w:cstheme="minorHAnsi"/>
          <w:iCs/>
          <w:color w:val="000000"/>
          <w:sz w:val="22"/>
          <w:szCs w:val="22"/>
        </w:rPr>
      </w:pPr>
      <w:r w:rsidRPr="00BD0695">
        <w:rPr>
          <w:rFonts w:asciiTheme="minorHAnsi" w:eastAsia="Open Sans" w:hAnsiTheme="minorHAnsi" w:cstheme="minorHAnsi"/>
          <w:iCs/>
          <w:color w:val="000000"/>
          <w:sz w:val="22"/>
          <w:szCs w:val="22"/>
        </w:rPr>
        <w:t>Wykonanie inwentaryzacji drzew owocowych na terenie pasa zieleni wzdłuż Alei Józefa Becka na wysokości Łachy Siekierkowskiej w ramach realizacji budżetu obywatelskiego nr 1011 -Sad Miejski Siekierki</w:t>
      </w:r>
      <w:r w:rsidR="00BD0695" w:rsidRPr="00BD0695">
        <w:rPr>
          <w:rFonts w:asciiTheme="minorHAnsi" w:eastAsia="Open Sans" w:hAnsiTheme="minorHAnsi" w:cstheme="minorHAnsi"/>
          <w:iCs/>
          <w:color w:val="000000"/>
          <w:sz w:val="22"/>
          <w:szCs w:val="22"/>
        </w:rPr>
        <w:t xml:space="preserve"> </w:t>
      </w:r>
      <w:r w:rsidR="00BD0695" w:rsidRPr="00BE3019">
        <w:rPr>
          <w:rFonts w:asciiTheme="minorHAnsi" w:eastAsia="Open Sans" w:hAnsiTheme="minorHAnsi" w:cstheme="minorHAnsi"/>
          <w:iCs/>
          <w:color w:val="000000"/>
          <w:sz w:val="22"/>
          <w:szCs w:val="22"/>
        </w:rPr>
        <w:t>zgodnie z załącznikiem nr 2- warunki realizacji umowy i standardy jakościowe wykonania prac oraz załącznikiem nr 4 do zapytania- wzorem umowy.</w:t>
      </w:r>
    </w:p>
    <w:p w14:paraId="7156DF14" w14:textId="2CB9028B" w:rsidR="00BE3019"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r w:rsidR="00BE3019">
        <w:rPr>
          <w:rFonts w:asciiTheme="minorHAnsi" w:eastAsia="SimSun" w:hAnsiTheme="minorHAnsi" w:cstheme="minorHAnsi"/>
          <w:sz w:val="22"/>
          <w:szCs w:val="22"/>
        </w:rPr>
        <w:t>:</w:t>
      </w:r>
    </w:p>
    <w:p w14:paraId="468D7ED5" w14:textId="177C21F0" w:rsidR="00BE3019" w:rsidRPr="00BE3019"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BE3019">
        <w:rPr>
          <w:rFonts w:asciiTheme="minorHAnsi" w:eastAsia="Open Sans" w:hAnsiTheme="minorHAnsi" w:cstheme="minorHAnsi"/>
          <w:iCs/>
          <w:color w:val="000000"/>
          <w:sz w:val="22"/>
          <w:szCs w:val="22"/>
        </w:rPr>
        <w:t>Wykonawca zobowiązuje się wykonać przedmiot umowy zgodnie z obowiązującymi przepisami, normami i standardami oraz przy zachowaniu należytej staranności, wymaganej od profesjonalisty.</w:t>
      </w:r>
    </w:p>
    <w:p w14:paraId="3D47908A" w14:textId="299CFB4A" w:rsidR="00BE3019"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Wykonawca oświadcza i zapewnia, że posiada wiedzę, uprawnienia i doświadczenie oraz potencjał techniczno-ekonomiczny niezbędny do prawidłowego wykonania przedmiotu Umowy</w:t>
      </w:r>
      <w:r w:rsidR="00BD0695">
        <w:rPr>
          <w:rFonts w:asciiTheme="minorHAnsi" w:eastAsia="Open Sans" w:hAnsiTheme="minorHAnsi" w:cstheme="minorHAnsi"/>
          <w:iCs/>
          <w:color w:val="000000"/>
          <w:sz w:val="22"/>
          <w:szCs w:val="22"/>
        </w:rPr>
        <w:t>.</w:t>
      </w:r>
    </w:p>
    <w:p w14:paraId="7D80CBD4" w14:textId="564476CD" w:rsidR="00BE3019" w:rsidRPr="008143E6"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Zamawiający wymaga, aby Wykonawca wykazał się doświadczeniem adekwatnym do charakteru i warunków wykonania zamówienia</w:t>
      </w:r>
      <w:r w:rsidR="00BD0695">
        <w:rPr>
          <w:rFonts w:asciiTheme="minorHAnsi" w:eastAsia="Open Sans" w:hAnsiTheme="minorHAnsi" w:cstheme="minorHAnsi"/>
          <w:iCs/>
          <w:color w:val="000000"/>
          <w:sz w:val="22"/>
          <w:szCs w:val="22"/>
        </w:rPr>
        <w:t>.</w:t>
      </w:r>
    </w:p>
    <w:p w14:paraId="51189214" w14:textId="77777777" w:rsidR="00BE3019" w:rsidRPr="008143E6"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t xml:space="preserve">Zamawiający wymaga, </w:t>
      </w:r>
      <w:r w:rsidRPr="00251289">
        <w:rPr>
          <w:rFonts w:asciiTheme="minorHAnsi" w:eastAsia="Open Sans" w:hAnsiTheme="minorHAnsi" w:cstheme="minorHAnsi"/>
          <w:iCs/>
          <w:color w:val="000000"/>
          <w:sz w:val="22"/>
          <w:szCs w:val="22"/>
        </w:rPr>
        <w:t>aby osoba odpowiedzialna za realizację Umowy posiadała doświadczenie i wykształcenie wyższe kierunkowe w zakresie realizacji zamówienia, lub wyższy stopień naukowy kierunkowy w zakresie realizacji zamówienia oraz minimum 3 lata praktyki</w:t>
      </w:r>
      <w:r>
        <w:rPr>
          <w:rFonts w:asciiTheme="minorHAnsi" w:eastAsia="Open Sans" w:hAnsiTheme="minorHAnsi" w:cstheme="minorHAnsi"/>
          <w:iCs/>
          <w:color w:val="000000"/>
          <w:sz w:val="22"/>
          <w:szCs w:val="22"/>
        </w:rPr>
        <w:t xml:space="preserve"> zawodowej.</w:t>
      </w:r>
    </w:p>
    <w:p w14:paraId="4748951E" w14:textId="77777777" w:rsidR="00BE3019" w:rsidRPr="00BE3019" w:rsidRDefault="00BE3019" w:rsidP="00BE3019">
      <w:pPr>
        <w:rPr>
          <w:rFonts w:eastAsia="SimSun"/>
        </w:rPr>
      </w:pPr>
    </w:p>
    <w:p w14:paraId="6013BECA" w14:textId="77777777" w:rsidR="005D165B" w:rsidRPr="008143E6" w:rsidRDefault="005D165B" w:rsidP="005D165B">
      <w:pPr>
        <w:pStyle w:val="Nagwek2"/>
        <w:numPr>
          <w:ilvl w:val="0"/>
          <w:numId w:val="29"/>
        </w:numPr>
        <w:spacing w:after="120"/>
        <w:ind w:left="284" w:hanging="357"/>
        <w:jc w:val="left"/>
        <w:rPr>
          <w:rFonts w:asciiTheme="minorHAnsi" w:eastAsia="SimSun" w:hAnsiTheme="minorHAnsi" w:cstheme="minorHAnsi"/>
          <w:strike/>
          <w:sz w:val="22"/>
          <w:szCs w:val="22"/>
        </w:rPr>
      </w:pPr>
      <w:r w:rsidRPr="008143E6">
        <w:rPr>
          <w:rFonts w:asciiTheme="minorHAnsi" w:eastAsia="SimSun" w:hAnsiTheme="minorHAnsi" w:cstheme="minorHAnsi"/>
          <w:strike/>
          <w:sz w:val="22"/>
          <w:szCs w:val="22"/>
        </w:rPr>
        <w:t xml:space="preserve">Zamawiający zapewnia: </w:t>
      </w:r>
      <w:r w:rsidRPr="008143E6">
        <w:rPr>
          <w:rFonts w:asciiTheme="minorHAnsi" w:eastAsia="SimSun" w:hAnsiTheme="minorHAnsi" w:cstheme="minorHAnsi"/>
          <w:b w:val="0"/>
          <w:bCs w:val="0"/>
          <w:strike/>
          <w:color w:val="1F4E79" w:themeColor="accent1" w:themeShade="80"/>
          <w:sz w:val="22"/>
          <w:szCs w:val="22"/>
        </w:rPr>
        <w:t>[skreślić jeśli nie dotyczy]</w:t>
      </w:r>
    </w:p>
    <w:p w14:paraId="60E984BD" w14:textId="5BE78393" w:rsidR="00792D0D" w:rsidRPr="0055784D" w:rsidRDefault="00792D0D" w:rsidP="005D165B">
      <w:pPr>
        <w:pStyle w:val="Nagwek2"/>
        <w:numPr>
          <w:ilvl w:val="0"/>
          <w:numId w:val="29"/>
        </w:numPr>
        <w:tabs>
          <w:tab w:val="right" w:leader="dot" w:pos="5103"/>
        </w:tabs>
        <w:spacing w:after="120"/>
        <w:ind w:left="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C72973">
        <w:rPr>
          <w:rFonts w:asciiTheme="minorHAnsi" w:eastAsia="SimSun" w:hAnsiTheme="minorHAnsi" w:cstheme="minorHAnsi"/>
          <w:sz w:val="22"/>
          <w:szCs w:val="22"/>
        </w:rPr>
        <w:t>do 30.11.2026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5D165B">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lastRenderedPageBreak/>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679E2FA1" w:rsidR="003B5F89"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C72973">
        <w:rPr>
          <w:rFonts w:asciiTheme="minorHAnsi" w:eastAsia="SimSun" w:hAnsiTheme="minorHAnsi" w:cstheme="minorHAnsi"/>
          <w:sz w:val="22"/>
          <w:szCs w:val="22"/>
        </w:rPr>
        <w:tab/>
      </w:r>
      <w:r w:rsidRPr="008A3223">
        <w:rPr>
          <w:rFonts w:asciiTheme="minorHAnsi" w:eastAsia="SimSun" w:hAnsiTheme="minorHAnsi" w:cstheme="minorHAnsi"/>
          <w:sz w:val="22"/>
          <w:szCs w:val="22"/>
        </w:rPr>
        <w:t xml:space="preserve">Załącznik nr </w:t>
      </w:r>
      <w:r w:rsidR="00BE3019">
        <w:rPr>
          <w:rFonts w:asciiTheme="minorHAnsi" w:eastAsia="SimSun" w:hAnsiTheme="minorHAnsi" w:cstheme="minorHAnsi"/>
          <w:sz w:val="22"/>
          <w:szCs w:val="22"/>
        </w:rPr>
        <w:t>6</w:t>
      </w:r>
      <w:r w:rsidRPr="008A3223">
        <w:rPr>
          <w:rFonts w:asciiTheme="minorHAnsi" w:eastAsia="SimSun" w:hAnsiTheme="minorHAnsi" w:cstheme="minorHAnsi"/>
          <w:sz w:val="22"/>
          <w:szCs w:val="22"/>
        </w:rPr>
        <w:t xml:space="preserve"> do zapytania ofertowego przedstawiający zakres prac i ceny jednostkowe</w:t>
      </w:r>
      <w:r w:rsidR="003348EA">
        <w:rPr>
          <w:rFonts w:asciiTheme="minorHAnsi" w:eastAsia="SimSun" w:hAnsiTheme="minorHAnsi" w:cstheme="minorHAnsi"/>
          <w:sz w:val="22"/>
          <w:szCs w:val="22"/>
        </w:rPr>
        <w:t xml:space="preserve"> (kosztorys ofertowy)</w:t>
      </w:r>
      <w:r w:rsidRPr="008A3223">
        <w:rPr>
          <w:rFonts w:asciiTheme="minorHAnsi" w:eastAsia="SimSun" w:hAnsiTheme="minorHAnsi" w:cstheme="minorHAnsi"/>
          <w:sz w:val="22"/>
          <w:szCs w:val="22"/>
        </w:rPr>
        <w:t>;</w:t>
      </w:r>
      <w:r w:rsidR="003B5F89" w:rsidRPr="008A3223">
        <w:rPr>
          <w:rFonts w:asciiTheme="minorHAnsi" w:eastAsia="SimSun" w:hAnsiTheme="minorHAnsi" w:cstheme="minorHAnsi"/>
          <w:sz w:val="22"/>
          <w:szCs w:val="22"/>
        </w:rPr>
        <w:t xml:space="preserve"> </w:t>
      </w:r>
    </w:p>
    <w:p w14:paraId="35D2BCC1" w14:textId="3D667475"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 xml:space="preserve">Formularz ofertowy stanowiący załącznik nr </w:t>
      </w:r>
      <w:r w:rsidR="00260795">
        <w:rPr>
          <w:rFonts w:asciiTheme="minorHAnsi" w:eastAsia="Open Sans" w:hAnsiTheme="minorHAnsi" w:cstheme="minorHAnsi"/>
          <w:color w:val="000000"/>
          <w:sz w:val="22"/>
          <w:szCs w:val="22"/>
        </w:rPr>
        <w:t>5</w:t>
      </w:r>
      <w:r w:rsidRPr="008A3223">
        <w:rPr>
          <w:rFonts w:asciiTheme="minorHAnsi" w:eastAsia="Open Sans" w:hAnsiTheme="minorHAnsi" w:cstheme="minorHAnsi"/>
          <w:color w:val="000000"/>
          <w:sz w:val="22"/>
          <w:szCs w:val="22"/>
        </w:rPr>
        <w:t xml:space="preserve"> do zapytania ofertowego;</w:t>
      </w:r>
    </w:p>
    <w:p w14:paraId="22E28157" w14:textId="24BEABE7" w:rsidR="006B4817" w:rsidRPr="0055784D" w:rsidRDefault="006B4817" w:rsidP="005D165B">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0811AD55" w14:textId="77777777" w:rsidR="00BE3019" w:rsidRPr="0055784D" w:rsidRDefault="00BE3019" w:rsidP="00BE3019">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293338DF" w14:textId="77777777" w:rsidR="00BE3019" w:rsidRPr="0055784D" w:rsidRDefault="00BE3019" w:rsidP="00BE3019">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Pr>
          <w:rFonts w:asciiTheme="minorHAnsi" w:hAnsiTheme="minorHAnsi" w:cstheme="minorHAnsi"/>
          <w:sz w:val="22"/>
          <w:szCs w:val="22"/>
        </w:rPr>
        <w:t xml:space="preserve"> 100 </w:t>
      </w:r>
      <w:r w:rsidRPr="0055784D">
        <w:rPr>
          <w:rFonts w:asciiTheme="minorHAnsi" w:hAnsiTheme="minorHAnsi" w:cstheme="minorHAnsi"/>
          <w:sz w:val="22"/>
          <w:szCs w:val="22"/>
        </w:rPr>
        <w:t>pkt,</w:t>
      </w:r>
    </w:p>
    <w:p w14:paraId="2D19962F" w14:textId="77777777" w:rsidR="00BE3019" w:rsidRPr="00605305" w:rsidRDefault="00BE3019" w:rsidP="00BE3019">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49A35460" w14:textId="77777777" w:rsidR="00BE3019" w:rsidRPr="001A5FAF" w:rsidRDefault="00BE3019" w:rsidP="00BE3019">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19E8D5C6" w14:textId="77777777" w:rsidR="00BE3019" w:rsidRPr="001A5FAF" w:rsidRDefault="00BE3019" w:rsidP="00BE3019">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145DB9D1" w14:textId="77777777" w:rsidR="00BE3019" w:rsidRPr="003677BE" w:rsidRDefault="00BE3019" w:rsidP="00BE3019">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Pr="003677BE">
        <w:rPr>
          <w:rFonts w:asciiTheme="minorHAnsi" w:eastAsiaTheme="minorEastAsia" w:hAnsiTheme="minorHAnsi" w:cstheme="minorHAnsi"/>
          <w:sz w:val="22"/>
          <w:szCs w:val="22"/>
        </w:rPr>
        <w:tab/>
        <w:t xml:space="preserve">x </w:t>
      </w:r>
      <w:r>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pkt</w:t>
      </w:r>
    </w:p>
    <w:p w14:paraId="6AAE32D5" w14:textId="77777777" w:rsidR="00BE3019" w:rsidRPr="0055784D" w:rsidRDefault="00BE3019" w:rsidP="00BE3019">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Pr="0055784D">
        <w:rPr>
          <w:rFonts w:asciiTheme="minorHAnsi" w:eastAsiaTheme="minorEastAsia" w:hAnsiTheme="minorHAnsi" w:cstheme="minorHAnsi"/>
          <w:sz w:val="22"/>
          <w:szCs w:val="22"/>
        </w:rPr>
        <w:t>cena brutto badanej oferty</w:t>
      </w:r>
    </w:p>
    <w:p w14:paraId="37E10027" w14:textId="77777777" w:rsidR="00BE3019" w:rsidRPr="0055784D" w:rsidRDefault="00BE3019" w:rsidP="00BE3019">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4DCFABCA"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32FE3322"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5CFC7585"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Dopuszcza się negocjowanie warunków ofert, w tym ceny, z Wykonawcami, którzy złożyli oferty w 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xml:space="preserve">), przedmiot zamówienia i wysokość wynagrodzenia podlegają udostępnieniu w trybie ustawy z dnia 6 września 2001 r. o dostępie </w:t>
      </w:r>
      <w:r w:rsidRPr="0055784D">
        <w:rPr>
          <w:rFonts w:asciiTheme="minorHAnsi" w:hAnsiTheme="minorHAnsi" w:cstheme="minorHAnsi"/>
          <w:color w:val="000000"/>
          <w:sz w:val="22"/>
          <w:szCs w:val="22"/>
        </w:rPr>
        <w:lastRenderedPageBreak/>
        <w:t>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1BD8D36B" w:rsidR="00734198" w:rsidRPr="0080276E"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b/>
          <w:bCs/>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80276E" w:rsidRPr="0080276E">
          <w:rPr>
            <w:rStyle w:val="Hipercze"/>
            <w:rFonts w:asciiTheme="minorHAnsi" w:eastAsia="Open Sans" w:hAnsiTheme="minorHAnsi" w:cstheme="minorHAnsi"/>
            <w:sz w:val="22"/>
            <w:szCs w:val="22"/>
          </w:rPr>
          <w:t>kontakt@zzw.waw.pl</w:t>
        </w:r>
      </w:hyperlink>
      <w:r w:rsidR="0080276E">
        <w:rPr>
          <w:rFonts w:asciiTheme="minorHAnsi" w:eastAsia="Open Sans" w:hAnsiTheme="minorHAnsi" w:cstheme="minorHAnsi"/>
          <w:color w:val="000000"/>
          <w:sz w:val="22"/>
          <w:szCs w:val="22"/>
        </w:rPr>
        <w:t xml:space="preserve"> oraz do wiadomości </w:t>
      </w:r>
      <w:hyperlink r:id="rId12" w:history="1">
        <w:r w:rsidR="0080276E" w:rsidRPr="009A3AA9">
          <w:rPr>
            <w:rStyle w:val="Hipercze"/>
            <w:rFonts w:asciiTheme="minorHAnsi" w:eastAsia="Open Sans" w:hAnsiTheme="minorHAnsi" w:cstheme="minorHAnsi"/>
            <w:sz w:val="22"/>
            <w:szCs w:val="22"/>
          </w:rPr>
          <w:t>ddb@zzw.waw.pl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80276E">
        <w:rPr>
          <w:rFonts w:asciiTheme="minorHAnsi" w:eastAsia="Open Sans" w:hAnsiTheme="minorHAnsi" w:cstheme="minorHAnsi"/>
          <w:color w:val="000000"/>
          <w:sz w:val="22"/>
          <w:szCs w:val="22"/>
        </w:rPr>
        <w:t xml:space="preserve">w terminie </w:t>
      </w:r>
      <w:r w:rsidR="00F31AA0">
        <w:rPr>
          <w:rFonts w:asciiTheme="minorHAnsi" w:eastAsia="Open Sans" w:hAnsiTheme="minorHAnsi" w:cstheme="minorHAnsi"/>
          <w:b/>
          <w:bCs/>
          <w:color w:val="000000"/>
          <w:sz w:val="22"/>
          <w:szCs w:val="22"/>
        </w:rPr>
        <w:t>30</w:t>
      </w:r>
      <w:r w:rsidR="0080276E" w:rsidRPr="0080276E">
        <w:rPr>
          <w:rFonts w:asciiTheme="minorHAnsi" w:eastAsia="Open Sans" w:hAnsiTheme="minorHAnsi" w:cstheme="minorHAnsi"/>
          <w:b/>
          <w:bCs/>
          <w:color w:val="000000"/>
          <w:sz w:val="22"/>
          <w:szCs w:val="22"/>
        </w:rPr>
        <w:t>.0</w:t>
      </w:r>
      <w:r w:rsidR="007249B7">
        <w:rPr>
          <w:rFonts w:asciiTheme="minorHAnsi" w:eastAsia="Open Sans" w:hAnsiTheme="minorHAnsi" w:cstheme="minorHAnsi"/>
          <w:b/>
          <w:bCs/>
          <w:color w:val="000000"/>
          <w:sz w:val="22"/>
          <w:szCs w:val="22"/>
        </w:rPr>
        <w:t>4</w:t>
      </w:r>
      <w:r w:rsidR="0080276E" w:rsidRPr="0080276E">
        <w:rPr>
          <w:rFonts w:asciiTheme="minorHAnsi" w:eastAsia="Open Sans" w:hAnsiTheme="minorHAnsi" w:cstheme="minorHAnsi"/>
          <w:b/>
          <w:bCs/>
          <w:color w:val="000000"/>
          <w:sz w:val="22"/>
          <w:szCs w:val="22"/>
        </w:rPr>
        <w:t>.202</w:t>
      </w:r>
      <w:r w:rsidR="00960BCE">
        <w:rPr>
          <w:rFonts w:asciiTheme="minorHAnsi" w:eastAsia="Open Sans" w:hAnsiTheme="minorHAnsi" w:cstheme="minorHAnsi"/>
          <w:b/>
          <w:bCs/>
          <w:color w:val="000000"/>
          <w:sz w:val="22"/>
          <w:szCs w:val="22"/>
        </w:rPr>
        <w:t>6</w:t>
      </w:r>
      <w:r w:rsidR="0080276E" w:rsidRPr="0080276E">
        <w:rPr>
          <w:rFonts w:asciiTheme="minorHAnsi" w:eastAsia="Open Sans" w:hAnsiTheme="minorHAnsi" w:cstheme="minorHAnsi"/>
          <w:b/>
          <w:bCs/>
          <w:color w:val="000000"/>
          <w:sz w:val="22"/>
          <w:szCs w:val="22"/>
        </w:rPr>
        <w:t xml:space="preserve">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7260919F" w14:textId="77777777" w:rsidR="005D165B" w:rsidRPr="005D165B" w:rsidRDefault="005D165B" w:rsidP="005D165B">
      <w:pPr>
        <w:pStyle w:val="Akapitzlist"/>
        <w:numPr>
          <w:ilvl w:val="0"/>
          <w:numId w:val="37"/>
        </w:numPr>
        <w:tabs>
          <w:tab w:val="right" w:leader="dot" w:pos="3402"/>
          <w:tab w:val="right" w:leader="dot" w:pos="5103"/>
          <w:tab w:val="right" w:leader="dot" w:pos="8222"/>
        </w:tabs>
        <w:spacing w:after="120" w:line="360" w:lineRule="auto"/>
        <w:rPr>
          <w:rFonts w:asciiTheme="minorHAnsi" w:eastAsia="Open Sans" w:hAnsiTheme="minorHAnsi" w:cstheme="minorHAnsi"/>
          <w:color w:val="000000"/>
          <w:sz w:val="22"/>
          <w:szCs w:val="22"/>
        </w:rPr>
      </w:pPr>
      <w:r w:rsidRPr="005D165B">
        <w:rPr>
          <w:rFonts w:asciiTheme="minorHAnsi" w:eastAsia="Open Sans" w:hAnsiTheme="minorHAnsi" w:cstheme="minorHAnsi"/>
          <w:color w:val="000000"/>
          <w:sz w:val="22"/>
          <w:szCs w:val="22"/>
        </w:rPr>
        <w:t xml:space="preserve">Osobą właściwą do kontaktu w zakresie realizacji zamówienia jest Agnieszka Papis, email: </w:t>
      </w:r>
      <w:hyperlink r:id="rId13" w:history="1">
        <w:r w:rsidRPr="005D165B">
          <w:rPr>
            <w:rStyle w:val="Hipercze"/>
            <w:rFonts w:asciiTheme="minorHAnsi" w:eastAsia="Open Sans" w:hAnsiTheme="minorHAnsi" w:cstheme="minorHAnsi"/>
            <w:sz w:val="22"/>
            <w:szCs w:val="22"/>
          </w:rPr>
          <w:t>apapis@zzw.waw.pl</w:t>
        </w:r>
      </w:hyperlink>
      <w:r w:rsidRPr="005D165B">
        <w:rPr>
          <w:rFonts w:asciiTheme="minorHAnsi" w:eastAsia="Open Sans" w:hAnsiTheme="minorHAnsi" w:cstheme="minorHAnsi"/>
          <w:color w:val="000000"/>
          <w:sz w:val="22"/>
          <w:szCs w:val="22"/>
        </w:rPr>
        <w:t xml:space="preserve"> telefon: 22 277 42 87</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401C000F"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Administratorem Pani/Pana danych </w:t>
      </w:r>
      <w:r w:rsidR="002A6C9D" w:rsidRPr="003B5F89">
        <w:rPr>
          <w:rFonts w:asciiTheme="minorHAnsi" w:hAnsiTheme="minorHAnsi" w:cstheme="minorHAnsi"/>
          <w:bCs/>
          <w:sz w:val="22"/>
          <w:szCs w:val="22"/>
        </w:rPr>
        <w:t>osobowych jest</w:t>
      </w:r>
      <w:r w:rsidRPr="003B5F89">
        <w:rPr>
          <w:rFonts w:asciiTheme="minorHAnsi" w:hAnsiTheme="minorHAnsi" w:cstheme="minorHAnsi"/>
          <w:bCs/>
          <w:sz w:val="22"/>
          <w:szCs w:val="22"/>
        </w:rPr>
        <w:t xml:space="preserve">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 xml:space="preserve">siedzibą przy ul. Hożej 13a, 00-528 Warszawa, </w:t>
      </w:r>
      <w:hyperlink r:id="rId14" w:history="1">
        <w:r w:rsidR="0080276E" w:rsidRPr="0067386E">
          <w:rPr>
            <w:rStyle w:val="Hipercze"/>
            <w:rFonts w:asciiTheme="minorHAnsi" w:hAnsiTheme="minorHAnsi" w:cstheme="minorHAnsi"/>
            <w:sz w:val="22"/>
            <w:szCs w:val="22"/>
          </w:rPr>
          <w:t>kontakt@zzw.waw.pl</w:t>
        </w:r>
      </w:hyperlink>
      <w:r w:rsidRPr="0067386E">
        <w:rPr>
          <w:rFonts w:asciiTheme="minorHAnsi" w:hAnsiTheme="minorHAnsi" w:cstheme="minorHAnsi"/>
          <w:sz w:val="22"/>
          <w:szCs w:val="22"/>
        </w:rPr>
        <w:t>.</w:t>
      </w:r>
    </w:p>
    <w:p w14:paraId="4A9E4719" w14:textId="2DE18D98" w:rsidR="003B5F89" w:rsidRPr="003B5F89" w:rsidRDefault="003B5F89" w:rsidP="001D42E0">
      <w:pPr>
        <w:pStyle w:val="Akapitzlist"/>
        <w:keepNext/>
        <w:widowControl w:val="0"/>
        <w:spacing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w:t>
      </w:r>
      <w:r w:rsidR="002A6C9D" w:rsidRPr="003B5F89">
        <w:rPr>
          <w:rFonts w:asciiTheme="minorHAnsi" w:hAnsiTheme="minorHAnsi" w:cstheme="minorHAnsi"/>
          <w:bCs/>
          <w:sz w:val="22"/>
          <w:szCs w:val="22"/>
        </w:rPr>
        <w:t>Zieleni został</w:t>
      </w:r>
      <w:r w:rsidRPr="003B5F89">
        <w:rPr>
          <w:rFonts w:asciiTheme="minorHAnsi" w:hAnsiTheme="minorHAnsi" w:cstheme="minorHAnsi"/>
          <w:bCs/>
          <w:sz w:val="22"/>
          <w:szCs w:val="22"/>
        </w:rPr>
        <w:t xml:space="preserve"> wyznaczony Inspektor Ochrony Danych, z którym kontakt jest możliwy pod adresem, 00-528 Warszawa, ul. Hoża 13a, bądź za pomocą adresu e-mail </w:t>
      </w:r>
      <w:hyperlink r:id="rId15" w:history="1">
        <w:r w:rsidR="0067386E" w:rsidRPr="0067386E">
          <w:rPr>
            <w:rStyle w:val="Hipercze"/>
            <w:rFonts w:asciiTheme="minorHAnsi" w:hAnsiTheme="minorHAnsi" w:cstheme="minorHAnsi"/>
            <w:bCs/>
            <w:sz w:val="22"/>
            <w:szCs w:val="22"/>
          </w:rPr>
          <w:t>daneosobowe@zzw.waw.pl</w:t>
        </w:r>
      </w:hyperlink>
      <w:r w:rsidR="0067386E">
        <w:rPr>
          <w:rFonts w:asciiTheme="minorHAnsi" w:hAnsiTheme="minorHAnsi" w:cstheme="minorHAnsi"/>
          <w:b/>
          <w:sz w:val="22"/>
          <w:szCs w:val="22"/>
        </w:rPr>
        <w:t xml:space="preserve"> </w:t>
      </w:r>
    </w:p>
    <w:p w14:paraId="351A620D" w14:textId="55173AE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w:t>
      </w:r>
      <w:r w:rsidR="0085507B">
        <w:rPr>
          <w:rFonts w:asciiTheme="minorHAnsi" w:hAnsiTheme="minorHAnsi" w:cstheme="minorHAnsi"/>
          <w:bCs/>
          <w:sz w:val="22"/>
          <w:szCs w:val="22"/>
        </w:rPr>
        <w:t>70</w:t>
      </w:r>
      <w:r w:rsidRPr="003B5F89">
        <w:rPr>
          <w:rFonts w:asciiTheme="minorHAnsi" w:hAnsiTheme="minorHAnsi" w:cstheme="minorHAnsi"/>
          <w:bCs/>
          <w:sz w:val="22"/>
          <w:szCs w:val="22"/>
        </w:rPr>
        <w:t xml:space="preserve">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 xml:space="preserve">następnie będą przetwarzane w celach archiwizacyjnych. Dane osobowe będą przetwarzane, w tym przechowywane zgodnie z przepisami ustawy z dnia 14 lipca 1983 r. </w:t>
      </w:r>
      <w:r w:rsidRPr="003B5F89">
        <w:rPr>
          <w:rFonts w:asciiTheme="minorHAnsi" w:hAnsiTheme="minorHAnsi" w:cstheme="minorHAnsi"/>
          <w:bCs/>
          <w:sz w:val="22"/>
          <w:szCs w:val="22"/>
        </w:rPr>
        <w:lastRenderedPageBreak/>
        <w:t>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7B1DB0E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w:t>
      </w:r>
      <w:r w:rsidR="002A6C9D" w:rsidRPr="003B5F89">
        <w:rPr>
          <w:rFonts w:asciiTheme="minorHAnsi" w:hAnsiTheme="minorHAnsi" w:cstheme="minorHAnsi"/>
          <w:bCs/>
          <w:sz w:val="22"/>
          <w:szCs w:val="22"/>
        </w:rPr>
        <w:t>powierzyć Pani</w:t>
      </w:r>
      <w:r w:rsidRPr="003B5F89">
        <w:rPr>
          <w:rFonts w:asciiTheme="minorHAnsi" w:hAnsiTheme="minorHAnsi" w:cstheme="minorHAnsi"/>
          <w:bCs/>
          <w:sz w:val="22"/>
          <w:szCs w:val="22"/>
        </w:rPr>
        <w:t>/Pana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6C684E30"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t>
      </w:r>
      <w:r w:rsidR="002A6C9D" w:rsidRPr="003B5F89">
        <w:rPr>
          <w:rFonts w:asciiTheme="minorHAnsi" w:hAnsiTheme="minorHAnsi" w:cstheme="minorHAnsi"/>
          <w:bCs/>
          <w:sz w:val="22"/>
          <w:szCs w:val="22"/>
        </w:rPr>
        <w:t>wynika bezpośrednio</w:t>
      </w:r>
      <w:r w:rsidRPr="003B5F89">
        <w:rPr>
          <w:rFonts w:asciiTheme="minorHAnsi" w:hAnsiTheme="minorHAnsi" w:cstheme="minorHAnsi"/>
          <w:bCs/>
          <w:sz w:val="22"/>
          <w:szCs w:val="22"/>
        </w:rPr>
        <w:t xml:space="preserve">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498DD0E"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W związku z art. 18 RODO żądania ograniczenia przetwarzania danych </w:t>
      </w:r>
      <w:r w:rsidR="002A6C9D" w:rsidRPr="003677BE">
        <w:rPr>
          <w:rFonts w:asciiTheme="minorHAnsi" w:hAnsiTheme="minorHAnsi" w:cstheme="minorHAnsi"/>
          <w:bCs/>
          <w:sz w:val="22"/>
          <w:szCs w:val="22"/>
        </w:rPr>
        <w:t>osobowych,</w:t>
      </w:r>
      <w:r w:rsidRPr="003677BE">
        <w:rPr>
          <w:rFonts w:asciiTheme="minorHAnsi" w:hAnsiTheme="minorHAnsi" w:cstheme="minorHAnsi"/>
          <w:bCs/>
          <w:sz w:val="22"/>
          <w:szCs w:val="22"/>
        </w:rPr>
        <w:t xml:space="preserve">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Przetwarzanie danych osobowych nie podlega zautomatyzowanemu podejmowaniu decyzji </w:t>
      </w:r>
      <w:r w:rsidRPr="003B5F89">
        <w:rPr>
          <w:rFonts w:asciiTheme="minorHAnsi" w:hAnsiTheme="minorHAnsi" w:cstheme="minorHAnsi"/>
          <w:bCs/>
          <w:sz w:val="22"/>
          <w:szCs w:val="22"/>
        </w:rPr>
        <w:lastRenderedPageBreak/>
        <w:t>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111E7D78"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w:t>
      </w:r>
      <w:r w:rsidR="007243D6" w:rsidRPr="0055784D">
        <w:rPr>
          <w:rFonts w:asciiTheme="minorHAnsi" w:hAnsiTheme="minorHAnsi" w:cstheme="minorHAnsi"/>
          <w:bCs/>
          <w:sz w:val="22"/>
          <w:szCs w:val="22"/>
        </w:rPr>
        <w:t>–</w:t>
      </w:r>
      <w:r w:rsidR="00F845BA">
        <w:rPr>
          <w:rFonts w:asciiTheme="minorHAnsi" w:hAnsiTheme="minorHAnsi" w:cstheme="minorHAnsi"/>
          <w:sz w:val="22"/>
          <w:szCs w:val="22"/>
        </w:rPr>
        <w:t xml:space="preserve"> </w:t>
      </w:r>
      <w:r w:rsidR="00937A37" w:rsidRPr="00F832A3">
        <w:rPr>
          <w:rFonts w:asciiTheme="minorHAnsi" w:hAnsiTheme="minorHAnsi" w:cstheme="minorHAnsi"/>
          <w:sz w:val="22"/>
          <w:szCs w:val="22"/>
        </w:rPr>
        <w:t xml:space="preserve">oświadczenia </w:t>
      </w:r>
      <w:r w:rsidR="00F845BA" w:rsidRPr="00F845BA">
        <w:rPr>
          <w:rFonts w:asciiTheme="minorHAnsi" w:hAnsiTheme="minorHAnsi" w:cstheme="minorHAnsi"/>
          <w:sz w:val="22"/>
          <w:szCs w:val="22"/>
        </w:rPr>
        <w:t xml:space="preserve">wykonawcy dotyczące braku podstaw </w:t>
      </w:r>
      <w:r w:rsidR="00F845BA">
        <w:rPr>
          <w:rFonts w:asciiTheme="minorHAnsi" w:hAnsiTheme="minorHAnsi" w:cstheme="minorHAnsi"/>
          <w:sz w:val="22"/>
          <w:szCs w:val="22"/>
        </w:rPr>
        <w:t xml:space="preserve">do </w:t>
      </w:r>
      <w:r w:rsidR="00F845BA" w:rsidRPr="00F845BA">
        <w:rPr>
          <w:rFonts w:asciiTheme="minorHAnsi" w:hAnsiTheme="minorHAnsi" w:cstheme="minorHAnsi"/>
          <w:sz w:val="22"/>
          <w:szCs w:val="22"/>
        </w:rPr>
        <w:t>wykluczenia</w:t>
      </w:r>
      <w:r w:rsidR="0080276E">
        <w:rPr>
          <w:rFonts w:asciiTheme="minorHAnsi" w:hAnsiTheme="minorHAnsi" w:cstheme="minorHAnsi"/>
          <w:sz w:val="22"/>
          <w:szCs w:val="22"/>
        </w:rPr>
        <w:t>;</w:t>
      </w:r>
    </w:p>
    <w:p w14:paraId="2C8DFD52" w14:textId="4BDAE485"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350453">
        <w:rPr>
          <w:rFonts w:asciiTheme="minorHAnsi" w:hAnsiTheme="minorHAnsi" w:cstheme="minorHAnsi"/>
          <w:bCs/>
          <w:sz w:val="22"/>
          <w:szCs w:val="22"/>
        </w:rPr>
        <w:t>opis przedmiotu zamówienia („OPZ”)</w:t>
      </w:r>
    </w:p>
    <w:p w14:paraId="55A5438B" w14:textId="00B61E90"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0080276E">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9F67F6">
        <w:rPr>
          <w:rFonts w:asciiTheme="minorHAnsi" w:hAnsiTheme="minorHAnsi" w:cstheme="minorHAnsi"/>
          <w:bCs/>
          <w:sz w:val="22"/>
          <w:szCs w:val="22"/>
        </w:rPr>
        <w:t>lokalizacja terenu opracowania</w:t>
      </w:r>
    </w:p>
    <w:p w14:paraId="0EB03B46" w14:textId="3BE57650"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4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wzór umowy</w:t>
      </w:r>
      <w:r>
        <w:rPr>
          <w:rFonts w:asciiTheme="minorHAnsi" w:hAnsiTheme="minorHAnsi" w:cstheme="minorHAnsi"/>
          <w:bCs/>
          <w:sz w:val="22"/>
          <w:szCs w:val="22"/>
        </w:rPr>
        <w:t>;</w:t>
      </w:r>
    </w:p>
    <w:p w14:paraId="750671B0" w14:textId="2CF71F02"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5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formularz</w:t>
      </w:r>
      <w:r w:rsidRPr="0080276E">
        <w:rPr>
          <w:rFonts w:asciiTheme="minorHAnsi" w:hAnsiTheme="minorHAnsi" w:cstheme="minorHAnsi"/>
          <w:bCs/>
          <w:sz w:val="22"/>
          <w:szCs w:val="22"/>
        </w:rPr>
        <w:t xml:space="preserve"> ofertowy</w:t>
      </w:r>
      <w:r w:rsidR="00221F86">
        <w:rPr>
          <w:rFonts w:asciiTheme="minorHAnsi" w:hAnsiTheme="minorHAnsi" w:cstheme="minorHAnsi"/>
          <w:bCs/>
          <w:sz w:val="22"/>
          <w:szCs w:val="22"/>
        </w:rPr>
        <w:t>;</w:t>
      </w:r>
    </w:p>
    <w:p w14:paraId="41735D11" w14:textId="234442D1" w:rsidR="00221F86" w:rsidRDefault="00221F86" w:rsidP="00221F8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6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kosztorys ofertowy</w:t>
      </w:r>
      <w:r w:rsidR="009F67F6">
        <w:rPr>
          <w:rFonts w:asciiTheme="minorHAnsi" w:hAnsiTheme="minorHAnsi" w:cstheme="minorHAnsi"/>
          <w:bCs/>
          <w:sz w:val="22"/>
          <w:szCs w:val="22"/>
        </w:rPr>
        <w:t>;</w:t>
      </w:r>
    </w:p>
    <w:p w14:paraId="574F16E6" w14:textId="329FC096" w:rsidR="009F67F6" w:rsidRDefault="009F67F6" w:rsidP="00221F8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7 – ewidencja liczba godzin.</w:t>
      </w:r>
    </w:p>
    <w:p w14:paraId="39565E7B" w14:textId="77777777" w:rsidR="00221F86" w:rsidRDefault="00221F86"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D53066B" w14:textId="77777777"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65FDCB31"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729DB51A"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5BA311C"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Zastępca Dyrektora</w:t>
      </w:r>
    </w:p>
    <w:p w14:paraId="62FAF016"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Ds. Utrzymania Terenów Zieleni</w:t>
      </w:r>
    </w:p>
    <w:p w14:paraId="4FD971EE"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Zarządu Zieleni m.st. Warszawy</w:t>
      </w:r>
    </w:p>
    <w:p w14:paraId="63F48D8D" w14:textId="77777777" w:rsidR="00C10573" w:rsidRPr="00FF2FA4" w:rsidRDefault="00C10573" w:rsidP="00C10573">
      <w:pPr>
        <w:keepNext/>
        <w:widowControl w:val="0"/>
        <w:ind w:left="5103" w:firstLine="569"/>
        <w:jc w:val="both"/>
        <w:rPr>
          <w:rFonts w:cstheme="minorHAnsi"/>
          <w:szCs w:val="22"/>
        </w:rPr>
      </w:pPr>
      <w:r w:rsidRPr="00C10573">
        <w:rPr>
          <w:rFonts w:asciiTheme="minorHAnsi" w:hAnsiTheme="minorHAnsi" w:cstheme="minorHAnsi"/>
          <w:szCs w:val="22"/>
        </w:rPr>
        <w:t>Kamila Nowocin</w:t>
      </w:r>
    </w:p>
    <w:p w14:paraId="0705DA3F" w14:textId="69B5CF8C" w:rsidR="00CC6543" w:rsidRPr="0055784D" w:rsidRDefault="007C5C9F" w:rsidP="00C10573">
      <w:pPr>
        <w:keepNext/>
        <w:widowControl w:val="0"/>
        <w:tabs>
          <w:tab w:val="right" w:leader="dot" w:pos="9072"/>
        </w:tabs>
        <w:spacing w:before="120" w:line="360" w:lineRule="auto"/>
        <w:ind w:left="284" w:firstLine="5103"/>
        <w:rPr>
          <w:rFonts w:asciiTheme="minorHAnsi" w:hAnsiTheme="minorHAnsi" w:cstheme="minorHAnsi"/>
          <w:sz w:val="22"/>
          <w:szCs w:val="22"/>
        </w:rPr>
      </w:pPr>
      <w:r w:rsidRPr="0055784D">
        <w:rPr>
          <w:rFonts w:asciiTheme="minorHAnsi" w:hAnsiTheme="minorHAnsi" w:cstheme="minorHAnsi"/>
          <w:sz w:val="22"/>
          <w:szCs w:val="22"/>
        </w:rPr>
        <w:tab/>
      </w:r>
    </w:p>
    <w:p w14:paraId="5DB81CA1" w14:textId="73C7456C" w:rsidR="00CC6543" w:rsidRPr="00ED611B" w:rsidRDefault="00937A37" w:rsidP="00937A37">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ab/>
      </w:r>
      <w:r w:rsidR="00574411" w:rsidRPr="0055784D">
        <w:rPr>
          <w:rFonts w:asciiTheme="minorHAnsi" w:hAnsiTheme="minorHAnsi" w:cstheme="minorHAnsi"/>
          <w:sz w:val="22"/>
          <w:szCs w:val="22"/>
        </w:rPr>
        <w:t>P</w:t>
      </w:r>
      <w:r w:rsidR="004C41C0" w:rsidRPr="0055784D">
        <w:rPr>
          <w:rFonts w:asciiTheme="minorHAnsi" w:hAnsiTheme="minorHAnsi" w:cstheme="minorHAnsi"/>
          <w:sz w:val="22"/>
          <w:szCs w:val="22"/>
        </w:rPr>
        <w:t xml:space="preserve">odpis </w:t>
      </w:r>
      <w:r w:rsidR="00BD1368">
        <w:rPr>
          <w:rFonts w:asciiTheme="minorHAnsi" w:hAnsiTheme="minorHAnsi" w:cstheme="minorHAnsi"/>
          <w:sz w:val="22"/>
          <w:szCs w:val="22"/>
        </w:rPr>
        <w:t>K</w:t>
      </w:r>
      <w:r w:rsidR="00CC6543" w:rsidRPr="0055784D">
        <w:rPr>
          <w:rFonts w:asciiTheme="minorHAnsi" w:hAnsiTheme="minorHAnsi" w:cstheme="minorHAnsi"/>
          <w:sz w:val="22"/>
          <w:szCs w:val="22"/>
        </w:rPr>
        <w:t>ierownik</w:t>
      </w:r>
      <w:r w:rsidR="004C41C0" w:rsidRPr="0055784D">
        <w:rPr>
          <w:rFonts w:asciiTheme="minorHAnsi" w:hAnsiTheme="minorHAnsi" w:cstheme="minorHAnsi"/>
          <w:sz w:val="22"/>
          <w:szCs w:val="22"/>
        </w:rPr>
        <w:t>a</w:t>
      </w:r>
      <w:r w:rsidR="00CC6543" w:rsidRPr="0055784D">
        <w:rPr>
          <w:rFonts w:asciiTheme="minorHAnsi" w:hAnsiTheme="minorHAnsi" w:cstheme="minorHAnsi"/>
          <w:sz w:val="22"/>
          <w:szCs w:val="22"/>
        </w:rPr>
        <w:t xml:space="preserve"> Zamawiającego</w:t>
      </w:r>
    </w:p>
    <w:sectPr w:rsidR="00CC6543" w:rsidRPr="00ED611B" w:rsidSect="00005550">
      <w:headerReference w:type="even" r:id="rId16"/>
      <w:headerReference w:type="default" r:id="rId17"/>
      <w:footerReference w:type="even" r:id="rId18"/>
      <w:footerReference w:type="default" r:id="rId19"/>
      <w:headerReference w:type="first" r:id="rId20"/>
      <w:footerReference w:type="first" r:id="rId21"/>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0099" w14:textId="77777777" w:rsidR="00C26061" w:rsidRDefault="00C260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016D9B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C26061">
          <w:rPr>
            <w:rFonts w:asciiTheme="minorHAnsi" w:hAnsiTheme="minorHAnsi" w:cstheme="minorHAnsi"/>
            <w:sz w:val="22"/>
            <w:szCs w:val="22"/>
          </w:rPr>
          <w:t>8</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2F9A" w14:textId="77777777" w:rsidR="00C26061" w:rsidRDefault="00C26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15C" w14:textId="77777777" w:rsidR="00C26061" w:rsidRDefault="00C260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7FA3" w14:textId="77777777" w:rsidR="00C26061" w:rsidRDefault="00C260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D312EB2"/>
    <w:multiLevelType w:val="hybridMultilevel"/>
    <w:tmpl w:val="D4462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5"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3BE731A"/>
    <w:multiLevelType w:val="hybridMultilevel"/>
    <w:tmpl w:val="8DCE8C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6"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30"/>
  </w:num>
  <w:num w:numId="3" w16cid:durableId="2112581350">
    <w:abstractNumId w:val="9"/>
  </w:num>
  <w:num w:numId="4" w16cid:durableId="74480576">
    <w:abstractNumId w:val="36"/>
  </w:num>
  <w:num w:numId="5" w16cid:durableId="1835294087">
    <w:abstractNumId w:val="22"/>
  </w:num>
  <w:num w:numId="6" w16cid:durableId="1053964329">
    <w:abstractNumId w:val="11"/>
  </w:num>
  <w:num w:numId="7" w16cid:durableId="733043179">
    <w:abstractNumId w:val="23"/>
  </w:num>
  <w:num w:numId="8" w16cid:durableId="499201771">
    <w:abstractNumId w:val="6"/>
  </w:num>
  <w:num w:numId="9" w16cid:durableId="355157770">
    <w:abstractNumId w:val="8"/>
  </w:num>
  <w:num w:numId="10" w16cid:durableId="1926919716">
    <w:abstractNumId w:val="15"/>
  </w:num>
  <w:num w:numId="11" w16cid:durableId="136652636">
    <w:abstractNumId w:val="38"/>
  </w:num>
  <w:num w:numId="12" w16cid:durableId="1042628760">
    <w:abstractNumId w:val="1"/>
  </w:num>
  <w:num w:numId="13" w16cid:durableId="1708601664">
    <w:abstractNumId w:val="16"/>
  </w:num>
  <w:num w:numId="14" w16cid:durableId="350952716">
    <w:abstractNumId w:val="13"/>
  </w:num>
  <w:num w:numId="15" w16cid:durableId="1637249179">
    <w:abstractNumId w:val="29"/>
  </w:num>
  <w:num w:numId="16" w16cid:durableId="1671903577">
    <w:abstractNumId w:val="5"/>
  </w:num>
  <w:num w:numId="17" w16cid:durableId="1447696857">
    <w:abstractNumId w:val="35"/>
  </w:num>
  <w:num w:numId="18" w16cid:durableId="149255702">
    <w:abstractNumId w:val="26"/>
  </w:num>
  <w:num w:numId="19" w16cid:durableId="2091195006">
    <w:abstractNumId w:val="14"/>
  </w:num>
  <w:num w:numId="20" w16cid:durableId="379599637">
    <w:abstractNumId w:val="31"/>
  </w:num>
  <w:num w:numId="21" w16cid:durableId="1807240489">
    <w:abstractNumId w:val="37"/>
  </w:num>
  <w:num w:numId="22" w16cid:durableId="490172750">
    <w:abstractNumId w:val="34"/>
  </w:num>
  <w:num w:numId="23" w16cid:durableId="18088263">
    <w:abstractNumId w:val="0"/>
  </w:num>
  <w:num w:numId="24" w16cid:durableId="1682854429">
    <w:abstractNumId w:val="18"/>
  </w:num>
  <w:num w:numId="25" w16cid:durableId="2036693533">
    <w:abstractNumId w:val="20"/>
  </w:num>
  <w:num w:numId="26" w16cid:durableId="2040859882">
    <w:abstractNumId w:val="7"/>
  </w:num>
  <w:num w:numId="27" w16cid:durableId="1830292404">
    <w:abstractNumId w:val="33"/>
  </w:num>
  <w:num w:numId="28" w16cid:durableId="193428713">
    <w:abstractNumId w:val="21"/>
  </w:num>
  <w:num w:numId="29" w16cid:durableId="1959800521">
    <w:abstractNumId w:val="3"/>
  </w:num>
  <w:num w:numId="30" w16cid:durableId="881864385">
    <w:abstractNumId w:val="32"/>
  </w:num>
  <w:num w:numId="31" w16cid:durableId="1854145099">
    <w:abstractNumId w:val="10"/>
  </w:num>
  <w:num w:numId="32" w16cid:durableId="1514109130">
    <w:abstractNumId w:val="24"/>
  </w:num>
  <w:num w:numId="33" w16cid:durableId="742681844">
    <w:abstractNumId w:val="25"/>
  </w:num>
  <w:num w:numId="34" w16cid:durableId="1425613096">
    <w:abstractNumId w:val="28"/>
  </w:num>
  <w:num w:numId="35" w16cid:durableId="1032995910">
    <w:abstractNumId w:val="4"/>
  </w:num>
  <w:num w:numId="36" w16cid:durableId="926622385">
    <w:abstractNumId w:val="2"/>
  </w:num>
  <w:num w:numId="37" w16cid:durableId="519512110">
    <w:abstractNumId w:val="19"/>
  </w:num>
  <w:num w:numId="38" w16cid:durableId="85729597">
    <w:abstractNumId w:val="27"/>
  </w:num>
  <w:num w:numId="39" w16cid:durableId="3670741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57486"/>
    <w:rsid w:val="00061878"/>
    <w:rsid w:val="0006240F"/>
    <w:rsid w:val="0006268B"/>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E3D20"/>
    <w:rsid w:val="000F58F7"/>
    <w:rsid w:val="00107775"/>
    <w:rsid w:val="00107F13"/>
    <w:rsid w:val="00111101"/>
    <w:rsid w:val="00113940"/>
    <w:rsid w:val="001147BC"/>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1F86"/>
    <w:rsid w:val="00227D4C"/>
    <w:rsid w:val="00232962"/>
    <w:rsid w:val="002365CD"/>
    <w:rsid w:val="00241A58"/>
    <w:rsid w:val="00241B61"/>
    <w:rsid w:val="00242B91"/>
    <w:rsid w:val="002442BF"/>
    <w:rsid w:val="002460F9"/>
    <w:rsid w:val="002502AC"/>
    <w:rsid w:val="00260795"/>
    <w:rsid w:val="00261569"/>
    <w:rsid w:val="00262CD4"/>
    <w:rsid w:val="00263E90"/>
    <w:rsid w:val="00270555"/>
    <w:rsid w:val="00271AE4"/>
    <w:rsid w:val="00297ADA"/>
    <w:rsid w:val="002A13E9"/>
    <w:rsid w:val="002A24D8"/>
    <w:rsid w:val="002A6C9D"/>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48EA"/>
    <w:rsid w:val="00340BB9"/>
    <w:rsid w:val="00342A5A"/>
    <w:rsid w:val="00342F7F"/>
    <w:rsid w:val="003435CD"/>
    <w:rsid w:val="00350273"/>
    <w:rsid w:val="00350453"/>
    <w:rsid w:val="00350950"/>
    <w:rsid w:val="0035632B"/>
    <w:rsid w:val="003578A0"/>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511E"/>
    <w:rsid w:val="00457951"/>
    <w:rsid w:val="00457E4F"/>
    <w:rsid w:val="00462488"/>
    <w:rsid w:val="00467E16"/>
    <w:rsid w:val="00473CF9"/>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2E5D"/>
    <w:rsid w:val="004D406A"/>
    <w:rsid w:val="004D6248"/>
    <w:rsid w:val="004F1736"/>
    <w:rsid w:val="004F67FF"/>
    <w:rsid w:val="004F6C6C"/>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D165B"/>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4DD5"/>
    <w:rsid w:val="00662C65"/>
    <w:rsid w:val="00666124"/>
    <w:rsid w:val="00671703"/>
    <w:rsid w:val="00672896"/>
    <w:rsid w:val="0067386E"/>
    <w:rsid w:val="00675A67"/>
    <w:rsid w:val="006833DD"/>
    <w:rsid w:val="0068359A"/>
    <w:rsid w:val="0068523C"/>
    <w:rsid w:val="00690A14"/>
    <w:rsid w:val="0069344E"/>
    <w:rsid w:val="00693C3C"/>
    <w:rsid w:val="00696188"/>
    <w:rsid w:val="006A3FD3"/>
    <w:rsid w:val="006A46EB"/>
    <w:rsid w:val="006B2004"/>
    <w:rsid w:val="006B218E"/>
    <w:rsid w:val="006B4817"/>
    <w:rsid w:val="006B7D82"/>
    <w:rsid w:val="006C0647"/>
    <w:rsid w:val="006D40FB"/>
    <w:rsid w:val="006D4481"/>
    <w:rsid w:val="006D4F95"/>
    <w:rsid w:val="006D7D66"/>
    <w:rsid w:val="006F0327"/>
    <w:rsid w:val="006F130C"/>
    <w:rsid w:val="006F5E53"/>
    <w:rsid w:val="00715F61"/>
    <w:rsid w:val="00721843"/>
    <w:rsid w:val="007243D6"/>
    <w:rsid w:val="007249B7"/>
    <w:rsid w:val="00734198"/>
    <w:rsid w:val="007363C5"/>
    <w:rsid w:val="0075349E"/>
    <w:rsid w:val="007547B1"/>
    <w:rsid w:val="007578B5"/>
    <w:rsid w:val="00757B3D"/>
    <w:rsid w:val="007624A1"/>
    <w:rsid w:val="00764764"/>
    <w:rsid w:val="007648F2"/>
    <w:rsid w:val="0076649F"/>
    <w:rsid w:val="00766BBE"/>
    <w:rsid w:val="0076760A"/>
    <w:rsid w:val="00781021"/>
    <w:rsid w:val="007815C2"/>
    <w:rsid w:val="007827B4"/>
    <w:rsid w:val="00784A12"/>
    <w:rsid w:val="00785B89"/>
    <w:rsid w:val="00792D0D"/>
    <w:rsid w:val="00794AA4"/>
    <w:rsid w:val="007A43EA"/>
    <w:rsid w:val="007B02D2"/>
    <w:rsid w:val="007B0E76"/>
    <w:rsid w:val="007C2C88"/>
    <w:rsid w:val="007C5C9F"/>
    <w:rsid w:val="007D1363"/>
    <w:rsid w:val="007D1BDA"/>
    <w:rsid w:val="007D4837"/>
    <w:rsid w:val="007D7FAA"/>
    <w:rsid w:val="007E26DD"/>
    <w:rsid w:val="007E5B1C"/>
    <w:rsid w:val="007E6DEF"/>
    <w:rsid w:val="007F592A"/>
    <w:rsid w:val="00800EBB"/>
    <w:rsid w:val="0080276E"/>
    <w:rsid w:val="00806508"/>
    <w:rsid w:val="0081402E"/>
    <w:rsid w:val="008144CA"/>
    <w:rsid w:val="008149DB"/>
    <w:rsid w:val="00815011"/>
    <w:rsid w:val="00831A48"/>
    <w:rsid w:val="00831F71"/>
    <w:rsid w:val="008329AC"/>
    <w:rsid w:val="00844188"/>
    <w:rsid w:val="0085507B"/>
    <w:rsid w:val="00857275"/>
    <w:rsid w:val="008606BD"/>
    <w:rsid w:val="00863410"/>
    <w:rsid w:val="00866F4D"/>
    <w:rsid w:val="00867751"/>
    <w:rsid w:val="00872B46"/>
    <w:rsid w:val="0087448F"/>
    <w:rsid w:val="008773AD"/>
    <w:rsid w:val="00884B3A"/>
    <w:rsid w:val="00884C77"/>
    <w:rsid w:val="008940FF"/>
    <w:rsid w:val="00897F06"/>
    <w:rsid w:val="008A3223"/>
    <w:rsid w:val="008A51D8"/>
    <w:rsid w:val="008B0864"/>
    <w:rsid w:val="008B0B61"/>
    <w:rsid w:val="008B1854"/>
    <w:rsid w:val="008B454D"/>
    <w:rsid w:val="008C7A4B"/>
    <w:rsid w:val="008D45EB"/>
    <w:rsid w:val="008D4BB1"/>
    <w:rsid w:val="008E194A"/>
    <w:rsid w:val="008E35F2"/>
    <w:rsid w:val="008E45BD"/>
    <w:rsid w:val="008E6C05"/>
    <w:rsid w:val="008F0CFC"/>
    <w:rsid w:val="009168B0"/>
    <w:rsid w:val="00917F82"/>
    <w:rsid w:val="0092019E"/>
    <w:rsid w:val="009221A5"/>
    <w:rsid w:val="00922908"/>
    <w:rsid w:val="009237CB"/>
    <w:rsid w:val="009272F1"/>
    <w:rsid w:val="009328FB"/>
    <w:rsid w:val="00933FEE"/>
    <w:rsid w:val="009340C2"/>
    <w:rsid w:val="009369AF"/>
    <w:rsid w:val="00937A37"/>
    <w:rsid w:val="00945F62"/>
    <w:rsid w:val="0094651F"/>
    <w:rsid w:val="00953DD4"/>
    <w:rsid w:val="00960BCE"/>
    <w:rsid w:val="00961E7E"/>
    <w:rsid w:val="00962CBC"/>
    <w:rsid w:val="009642D3"/>
    <w:rsid w:val="00970037"/>
    <w:rsid w:val="00987E5C"/>
    <w:rsid w:val="009A0A1F"/>
    <w:rsid w:val="009A3477"/>
    <w:rsid w:val="009A7CDB"/>
    <w:rsid w:val="009B3CB5"/>
    <w:rsid w:val="009B636E"/>
    <w:rsid w:val="009C2CDC"/>
    <w:rsid w:val="009C33A0"/>
    <w:rsid w:val="009C5490"/>
    <w:rsid w:val="009C7EAC"/>
    <w:rsid w:val="009D18B6"/>
    <w:rsid w:val="009D66F2"/>
    <w:rsid w:val="009D6DDE"/>
    <w:rsid w:val="009E2AA3"/>
    <w:rsid w:val="009F0BD2"/>
    <w:rsid w:val="009F12C0"/>
    <w:rsid w:val="009F3568"/>
    <w:rsid w:val="009F4CDB"/>
    <w:rsid w:val="009F67F6"/>
    <w:rsid w:val="00A00810"/>
    <w:rsid w:val="00A228DF"/>
    <w:rsid w:val="00A246D7"/>
    <w:rsid w:val="00A40913"/>
    <w:rsid w:val="00A4280B"/>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0F31"/>
    <w:rsid w:val="00AE393F"/>
    <w:rsid w:val="00AE3FCD"/>
    <w:rsid w:val="00AF0FBE"/>
    <w:rsid w:val="00B00E32"/>
    <w:rsid w:val="00B04949"/>
    <w:rsid w:val="00B14A64"/>
    <w:rsid w:val="00B161D1"/>
    <w:rsid w:val="00B206AD"/>
    <w:rsid w:val="00B20B68"/>
    <w:rsid w:val="00B218AE"/>
    <w:rsid w:val="00B2786D"/>
    <w:rsid w:val="00B34B52"/>
    <w:rsid w:val="00B35861"/>
    <w:rsid w:val="00B54DA9"/>
    <w:rsid w:val="00B57521"/>
    <w:rsid w:val="00B57FB6"/>
    <w:rsid w:val="00B57FFE"/>
    <w:rsid w:val="00B65BA7"/>
    <w:rsid w:val="00B67E98"/>
    <w:rsid w:val="00B71014"/>
    <w:rsid w:val="00B72684"/>
    <w:rsid w:val="00B77A87"/>
    <w:rsid w:val="00B90613"/>
    <w:rsid w:val="00B90D9C"/>
    <w:rsid w:val="00B9210D"/>
    <w:rsid w:val="00B928E3"/>
    <w:rsid w:val="00B95606"/>
    <w:rsid w:val="00BA0357"/>
    <w:rsid w:val="00BB0A26"/>
    <w:rsid w:val="00BB4198"/>
    <w:rsid w:val="00BB42AF"/>
    <w:rsid w:val="00BD0695"/>
    <w:rsid w:val="00BD1368"/>
    <w:rsid w:val="00BD2186"/>
    <w:rsid w:val="00BE0D73"/>
    <w:rsid w:val="00BE3019"/>
    <w:rsid w:val="00BE5DDC"/>
    <w:rsid w:val="00BF321B"/>
    <w:rsid w:val="00BF6392"/>
    <w:rsid w:val="00BF7C77"/>
    <w:rsid w:val="00C02F3E"/>
    <w:rsid w:val="00C10573"/>
    <w:rsid w:val="00C14D79"/>
    <w:rsid w:val="00C15593"/>
    <w:rsid w:val="00C17EDB"/>
    <w:rsid w:val="00C244F7"/>
    <w:rsid w:val="00C26061"/>
    <w:rsid w:val="00C362E8"/>
    <w:rsid w:val="00C37B24"/>
    <w:rsid w:val="00C41BE8"/>
    <w:rsid w:val="00C51FF8"/>
    <w:rsid w:val="00C52E15"/>
    <w:rsid w:val="00C561EA"/>
    <w:rsid w:val="00C622FF"/>
    <w:rsid w:val="00C62A8B"/>
    <w:rsid w:val="00C66A2E"/>
    <w:rsid w:val="00C72973"/>
    <w:rsid w:val="00C766C1"/>
    <w:rsid w:val="00C807E0"/>
    <w:rsid w:val="00C83DDA"/>
    <w:rsid w:val="00C83F80"/>
    <w:rsid w:val="00C86966"/>
    <w:rsid w:val="00C90E5E"/>
    <w:rsid w:val="00CA6295"/>
    <w:rsid w:val="00CA742F"/>
    <w:rsid w:val="00CA7D6B"/>
    <w:rsid w:val="00CB043A"/>
    <w:rsid w:val="00CB245F"/>
    <w:rsid w:val="00CB5F1A"/>
    <w:rsid w:val="00CC0FDD"/>
    <w:rsid w:val="00CC6543"/>
    <w:rsid w:val="00CC6A9F"/>
    <w:rsid w:val="00CC6E8C"/>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365CF"/>
    <w:rsid w:val="00D453B8"/>
    <w:rsid w:val="00D526B6"/>
    <w:rsid w:val="00D535FA"/>
    <w:rsid w:val="00D545DD"/>
    <w:rsid w:val="00D63EF1"/>
    <w:rsid w:val="00D64D55"/>
    <w:rsid w:val="00D66E43"/>
    <w:rsid w:val="00D736B1"/>
    <w:rsid w:val="00D74647"/>
    <w:rsid w:val="00D8181D"/>
    <w:rsid w:val="00D826C6"/>
    <w:rsid w:val="00D8605F"/>
    <w:rsid w:val="00D97603"/>
    <w:rsid w:val="00DA29D8"/>
    <w:rsid w:val="00DA68F7"/>
    <w:rsid w:val="00DA761D"/>
    <w:rsid w:val="00DC00DC"/>
    <w:rsid w:val="00DC4D11"/>
    <w:rsid w:val="00DD0DE9"/>
    <w:rsid w:val="00DD2E4C"/>
    <w:rsid w:val="00DE38B3"/>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707D2"/>
    <w:rsid w:val="00E74668"/>
    <w:rsid w:val="00E82C1D"/>
    <w:rsid w:val="00E83300"/>
    <w:rsid w:val="00E96165"/>
    <w:rsid w:val="00EA20E2"/>
    <w:rsid w:val="00EA3429"/>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A0"/>
    <w:rsid w:val="00F31AB7"/>
    <w:rsid w:val="00F4031A"/>
    <w:rsid w:val="00F41C50"/>
    <w:rsid w:val="00F5018D"/>
    <w:rsid w:val="00F5137F"/>
    <w:rsid w:val="00F52D81"/>
    <w:rsid w:val="00F53241"/>
    <w:rsid w:val="00F535C2"/>
    <w:rsid w:val="00F5558F"/>
    <w:rsid w:val="00F566E8"/>
    <w:rsid w:val="00F8304A"/>
    <w:rsid w:val="00F845BA"/>
    <w:rsid w:val="00F866BD"/>
    <w:rsid w:val="00F97AE0"/>
    <w:rsid w:val="00FA4642"/>
    <w:rsid w:val="00FA63DD"/>
    <w:rsid w:val="00FA6E38"/>
    <w:rsid w:val="00FB18EF"/>
    <w:rsid w:val="00FB450F"/>
    <w:rsid w:val="00FB6171"/>
    <w:rsid w:val="00FC1670"/>
    <w:rsid w:val="00FC3AC5"/>
    <w:rsid w:val="00FC3EB1"/>
    <w:rsid w:val="00FD4866"/>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apis@zzw.waw.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db@zzw.waw.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daneosobowe@zzw.waw.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2.xml><?xml version="1.0" encoding="utf-8"?>
<ds:datastoreItem xmlns:ds="http://schemas.openxmlformats.org/officeDocument/2006/customXml" ds:itemID="{FF04971C-DF24-45A1-893C-F4087F4AFAA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615bfb00-743c-4607-81f1-158047a54de1"/>
    <ds:schemaRef ds:uri="c7e405a8-571f-45ca-bd26-04df94f6c5f0"/>
    <ds:schemaRef ds:uri="http://purl.org/dc/terms/"/>
  </ds:schemaRefs>
</ds:datastoreItem>
</file>

<file path=customXml/itemProps3.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4.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1846</Words>
  <Characters>11722</Characters>
  <Application>Microsoft Office Word</Application>
  <DocSecurity>6</DocSecurity>
  <Lines>97</Lines>
  <Paragraphs>27</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Papis Agnieszka</cp:lastModifiedBy>
  <cp:revision>2</cp:revision>
  <cp:lastPrinted>2024-09-10T12:51:00Z</cp:lastPrinted>
  <dcterms:created xsi:type="dcterms:W3CDTF">2026-04-24T08:06:00Z</dcterms:created>
  <dcterms:modified xsi:type="dcterms:W3CDTF">2026-04-24T08:06:00Z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ies>
</file>