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7DA765" w14:textId="77777777" w:rsidR="00B959DD" w:rsidRDefault="00B959DD" w:rsidP="0069276D">
      <w:pPr>
        <w:spacing w:before="120" w:after="120"/>
        <w:ind w:firstLine="142"/>
        <w:jc w:val="center"/>
        <w:rPr>
          <w:rFonts w:ascii="Open Sans" w:hAnsi="Open Sans" w:cs="Open Sans"/>
          <w:b/>
          <w:color w:val="008000"/>
        </w:rPr>
      </w:pPr>
    </w:p>
    <w:p w14:paraId="518F5C95" w14:textId="77777777" w:rsidR="00906C34" w:rsidRDefault="00906C34" w:rsidP="00C60ACC">
      <w:pPr>
        <w:spacing w:before="120" w:after="120"/>
        <w:rPr>
          <w:rFonts w:ascii="Open Sans" w:hAnsi="Open Sans" w:cs="Open Sans"/>
          <w:b/>
          <w:color w:val="008000"/>
        </w:rPr>
      </w:pPr>
    </w:p>
    <w:p w14:paraId="03DFA06A" w14:textId="77777777" w:rsidR="0069276D" w:rsidRDefault="004536F5" w:rsidP="00545E4C">
      <w:pPr>
        <w:pStyle w:val="Tytu"/>
      </w:pPr>
      <w:r w:rsidRPr="00B33E20">
        <w:t>OPIS PRZEDMIOTU ZAMÓWIENIA</w:t>
      </w:r>
    </w:p>
    <w:p w14:paraId="3519C5A5" w14:textId="297A7931" w:rsidR="004536F5" w:rsidRPr="00122135" w:rsidRDefault="004536F5" w:rsidP="00545E4C">
      <w:bookmarkStart w:id="0" w:name="_Hlk531944149"/>
      <w:r w:rsidRPr="007B7356">
        <w:t xml:space="preserve">Zakup i dystrybucja energii </w:t>
      </w:r>
      <w:r w:rsidR="005B48C4">
        <w:t>cieplnej</w:t>
      </w:r>
      <w:r w:rsidRPr="007B7356">
        <w:t xml:space="preserve"> </w:t>
      </w:r>
      <w:r w:rsidR="00426B25">
        <w:t xml:space="preserve">w </w:t>
      </w:r>
      <w:r w:rsidR="00877254">
        <w:t>latach</w:t>
      </w:r>
      <w:r w:rsidR="007D65F0">
        <w:t xml:space="preserve"> 20</w:t>
      </w:r>
      <w:r w:rsidR="00877254">
        <w:t>2</w:t>
      </w:r>
      <w:r w:rsidR="00433743">
        <w:t>2</w:t>
      </w:r>
      <w:r w:rsidR="00877254">
        <w:t>-202</w:t>
      </w:r>
      <w:r w:rsidR="00433743">
        <w:t>4</w:t>
      </w:r>
      <w:r w:rsidR="00823DB8">
        <w:t xml:space="preserve"> </w:t>
      </w:r>
      <w:r w:rsidRPr="007B7356">
        <w:t>do</w:t>
      </w:r>
      <w:r w:rsidRPr="00023E71">
        <w:t xml:space="preserve"> nieruchomości/obiektów b</w:t>
      </w:r>
      <w:r w:rsidRPr="007B7356">
        <w:t>ędących w</w:t>
      </w:r>
      <w:r w:rsidR="00545E4C">
        <w:t> </w:t>
      </w:r>
      <w:r w:rsidRPr="007B7356">
        <w:t>zarządz</w:t>
      </w:r>
      <w:r w:rsidR="00E607A2">
        <w:t>aniu</w:t>
      </w:r>
      <w:r w:rsidRPr="007B7356">
        <w:t xml:space="preserve"> i administrowaniu Zarząd</w:t>
      </w:r>
      <w:r w:rsidR="00823DB8">
        <w:t>u</w:t>
      </w:r>
      <w:r w:rsidRPr="007B7356">
        <w:t xml:space="preserve"> Zieleni m.st. Warszawy</w:t>
      </w:r>
      <w:r w:rsidR="00FF798B">
        <w:t>.</w:t>
      </w:r>
    </w:p>
    <w:bookmarkEnd w:id="0"/>
    <w:p w14:paraId="3CDFEEE2" w14:textId="7161121C" w:rsidR="009B19B0" w:rsidRPr="009B19B0" w:rsidRDefault="004536F5" w:rsidP="00545E4C">
      <w:pPr>
        <w:rPr>
          <w:b/>
        </w:rPr>
      </w:pPr>
      <w:r w:rsidRPr="007B7356">
        <w:t>Kod CPV: 093</w:t>
      </w:r>
      <w:r w:rsidR="004261A5">
        <w:t>2</w:t>
      </w:r>
      <w:r w:rsidRPr="007B7356">
        <w:t xml:space="preserve">0000 – </w:t>
      </w:r>
      <w:r w:rsidR="004261A5">
        <w:t>8</w:t>
      </w:r>
      <w:r w:rsidRPr="007B7356">
        <w:t xml:space="preserve"> </w:t>
      </w:r>
      <w:r w:rsidR="004261A5">
        <w:t>Para, gorąca woda i podobne produkty</w:t>
      </w:r>
      <w:r w:rsidRPr="007B7356">
        <w:t>.</w:t>
      </w:r>
    </w:p>
    <w:p w14:paraId="75DC23E6" w14:textId="77777777" w:rsidR="00CE2468" w:rsidRPr="007E272F" w:rsidRDefault="004536F5" w:rsidP="008E7A13">
      <w:pPr>
        <w:pStyle w:val="Nagwek1"/>
      </w:pPr>
      <w:r w:rsidRPr="007E272F">
        <w:t xml:space="preserve">Dane dotyczące </w:t>
      </w:r>
      <w:r w:rsidR="005B48C4" w:rsidRPr="007E272F">
        <w:t>nieruchomości/obiektów</w:t>
      </w:r>
      <w:r w:rsidRPr="007E272F">
        <w:t>:</w:t>
      </w:r>
    </w:p>
    <w:p w14:paraId="195A198E" w14:textId="43C14927" w:rsidR="004C4847" w:rsidRPr="00F7708F" w:rsidRDefault="004C4847" w:rsidP="00B151E9">
      <w:pPr>
        <w:pStyle w:val="Akapitzlist"/>
        <w:numPr>
          <w:ilvl w:val="0"/>
          <w:numId w:val="24"/>
        </w:numPr>
      </w:pPr>
      <w:r w:rsidRPr="00F7708F">
        <w:t xml:space="preserve">Budynek biurowy </w:t>
      </w:r>
      <w:r w:rsidR="00B9713D" w:rsidRPr="00F7708F">
        <w:t xml:space="preserve">ul. </w:t>
      </w:r>
      <w:r w:rsidRPr="00F7708F">
        <w:t>Hoża 13a – dz. 55/4 obręb 5-05-04</w:t>
      </w:r>
    </w:p>
    <w:p w14:paraId="30931EC0" w14:textId="77777777" w:rsidR="00A338B3" w:rsidRPr="00B9713D" w:rsidRDefault="00A338B3" w:rsidP="00B151E9">
      <w:pPr>
        <w:pStyle w:val="Akapitzlist"/>
        <w:numPr>
          <w:ilvl w:val="1"/>
          <w:numId w:val="24"/>
        </w:numPr>
      </w:pPr>
      <w:r w:rsidRPr="00B9713D">
        <w:t>Rok budowy: 1936,</w:t>
      </w:r>
    </w:p>
    <w:p w14:paraId="170F6E24" w14:textId="77777777" w:rsidR="00A338B3" w:rsidRPr="00B9713D" w:rsidRDefault="00A338B3" w:rsidP="00B151E9">
      <w:pPr>
        <w:pStyle w:val="Akapitzlist"/>
        <w:numPr>
          <w:ilvl w:val="1"/>
          <w:numId w:val="24"/>
        </w:numPr>
      </w:pPr>
      <w:r w:rsidRPr="00B9713D">
        <w:t>Powierzchnia całkowita budynku: 1 133,71 m</w:t>
      </w:r>
      <w:r w:rsidRPr="00733123">
        <w:t>2</w:t>
      </w:r>
      <w:r w:rsidRPr="00B9713D">
        <w:t>,</w:t>
      </w:r>
    </w:p>
    <w:p w14:paraId="46010C02" w14:textId="77777777" w:rsidR="00B9713D" w:rsidRPr="00B9713D" w:rsidRDefault="00B9713D" w:rsidP="00B151E9">
      <w:pPr>
        <w:pStyle w:val="Akapitzlist"/>
        <w:numPr>
          <w:ilvl w:val="1"/>
          <w:numId w:val="24"/>
        </w:numPr>
      </w:pPr>
      <w:r w:rsidRPr="00B9713D">
        <w:t>Powierzchnia ogrzewana: 1 133,70 m</w:t>
      </w:r>
      <w:r w:rsidRPr="00733123">
        <w:t>2</w:t>
      </w:r>
      <w:r>
        <w:t>,</w:t>
      </w:r>
    </w:p>
    <w:p w14:paraId="313673A8" w14:textId="77777777" w:rsidR="00A338B3" w:rsidRPr="00B9713D" w:rsidRDefault="00A338B3" w:rsidP="00B151E9">
      <w:pPr>
        <w:pStyle w:val="Akapitzlist"/>
        <w:numPr>
          <w:ilvl w:val="1"/>
          <w:numId w:val="24"/>
        </w:numPr>
      </w:pPr>
      <w:r w:rsidRPr="00B9713D">
        <w:t>Liczba stałych użytkowników: około 100 pracowników,</w:t>
      </w:r>
    </w:p>
    <w:p w14:paraId="10FFC016" w14:textId="77777777" w:rsidR="00B9713D" w:rsidRPr="00B9713D" w:rsidRDefault="00A338B3" w:rsidP="00B151E9">
      <w:pPr>
        <w:pStyle w:val="Akapitzlist"/>
        <w:numPr>
          <w:ilvl w:val="1"/>
          <w:numId w:val="24"/>
        </w:numPr>
      </w:pPr>
      <w:r w:rsidRPr="00B9713D">
        <w:t>Rozgraniczenie odbiorcy i sprzedawcy: zawory przyłącza w węźle cieplnym</w:t>
      </w:r>
      <w:r w:rsidR="00B9713D" w:rsidRPr="00B9713D">
        <w:t>,</w:t>
      </w:r>
    </w:p>
    <w:p w14:paraId="3E78CD7B" w14:textId="77777777" w:rsidR="00A338B3" w:rsidRPr="00B9713D" w:rsidRDefault="00B9713D" w:rsidP="00B151E9">
      <w:pPr>
        <w:pStyle w:val="Akapitzlist"/>
        <w:numPr>
          <w:ilvl w:val="1"/>
          <w:numId w:val="24"/>
        </w:numPr>
      </w:pPr>
      <w:r w:rsidRPr="00B9713D">
        <w:t>Budynek otynkowany, ocieplony, zmodernizowany</w:t>
      </w:r>
      <w:r w:rsidR="00A338B3" w:rsidRPr="00B9713D">
        <w:t>.</w:t>
      </w:r>
    </w:p>
    <w:p w14:paraId="3B6FB815" w14:textId="77777777" w:rsidR="00A338B3" w:rsidRPr="00345E9A" w:rsidRDefault="00A338B3" w:rsidP="00733123">
      <w:pPr>
        <w:rPr>
          <w:b/>
          <w:bCs/>
        </w:rPr>
      </w:pPr>
      <w:r w:rsidRPr="00345E9A">
        <w:rPr>
          <w:b/>
          <w:bCs/>
        </w:rPr>
        <w:t>Dane dotyczące zamówionej mocy cieplnej:</w:t>
      </w:r>
    </w:p>
    <w:p w14:paraId="47F5D3A5" w14:textId="77777777" w:rsidR="00A338B3" w:rsidRPr="00B9713D" w:rsidRDefault="00A338B3" w:rsidP="00B151E9">
      <w:pPr>
        <w:pStyle w:val="Akapitzlist"/>
        <w:spacing w:after="0"/>
      </w:pPr>
      <w:r w:rsidRPr="00B9713D">
        <w:t>Moc cieplna na potrzeby ogrzewania N</w:t>
      </w:r>
      <w:r w:rsidR="002646CD" w:rsidRPr="00B9713D">
        <w:rPr>
          <w:vertAlign w:val="subscript"/>
        </w:rPr>
        <w:t>CO</w:t>
      </w:r>
      <w:r w:rsidRPr="00B9713D">
        <w:t>: 0,0743 MW,</w:t>
      </w:r>
    </w:p>
    <w:p w14:paraId="3CC54EDD" w14:textId="77777777" w:rsidR="00A338B3" w:rsidRPr="00B9713D" w:rsidRDefault="00A338B3" w:rsidP="00B151E9">
      <w:pPr>
        <w:pStyle w:val="Akapitzlist"/>
        <w:spacing w:after="0"/>
      </w:pPr>
      <w:r w:rsidRPr="00B9713D">
        <w:t>Moc cieplna na potrzeby ciepłej wody:</w:t>
      </w:r>
    </w:p>
    <w:p w14:paraId="786F39AA" w14:textId="77777777" w:rsidR="00A338B3" w:rsidRPr="00B9713D" w:rsidRDefault="00A338B3" w:rsidP="00B151E9">
      <w:pPr>
        <w:spacing w:after="0"/>
        <w:ind w:left="1440"/>
      </w:pPr>
      <w:proofErr w:type="spellStart"/>
      <w:r w:rsidRPr="00B9713D">
        <w:t>N</w:t>
      </w:r>
      <w:r w:rsidR="002646CD" w:rsidRPr="00733123">
        <w:t>CW</w:t>
      </w:r>
      <w:r w:rsidRPr="00733123">
        <w:t>max</w:t>
      </w:r>
      <w:proofErr w:type="spellEnd"/>
      <w:r w:rsidRPr="00B9713D">
        <w:t>. 0,0582 MW,</w:t>
      </w:r>
    </w:p>
    <w:p w14:paraId="5E04369A" w14:textId="77777777" w:rsidR="00A338B3" w:rsidRPr="00B9713D" w:rsidRDefault="00A338B3" w:rsidP="00B151E9">
      <w:pPr>
        <w:spacing w:after="0"/>
        <w:ind w:left="1440"/>
      </w:pPr>
      <w:proofErr w:type="spellStart"/>
      <w:r w:rsidRPr="00B9713D">
        <w:t>N</w:t>
      </w:r>
      <w:r w:rsidR="002646CD" w:rsidRPr="00733123">
        <w:t>CW</w:t>
      </w:r>
      <w:r w:rsidRPr="00733123">
        <w:t>śr</w:t>
      </w:r>
      <w:proofErr w:type="spellEnd"/>
      <w:r w:rsidRPr="00B9713D">
        <w:t>. 0,0262 MW,</w:t>
      </w:r>
    </w:p>
    <w:p w14:paraId="62AF97EC" w14:textId="77777777" w:rsidR="002646CD" w:rsidRPr="00B9713D" w:rsidRDefault="00A338B3" w:rsidP="00B151E9">
      <w:pPr>
        <w:pStyle w:val="Akapitzlist"/>
        <w:spacing w:after="0"/>
      </w:pPr>
      <w:r w:rsidRPr="00B9713D">
        <w:t>Zamówiona moc cieplna</w:t>
      </w:r>
      <w:r w:rsidR="002646CD" w:rsidRPr="00B9713D">
        <w:t xml:space="preserve"> N</w:t>
      </w:r>
      <w:r w:rsidR="002646CD" w:rsidRPr="00733123">
        <w:t>Z</w:t>
      </w:r>
      <w:r w:rsidR="002646CD" w:rsidRPr="00B9713D">
        <w:t>=</w:t>
      </w:r>
      <w:proofErr w:type="spellStart"/>
      <w:r w:rsidR="002646CD" w:rsidRPr="00B9713D">
        <w:t>N</w:t>
      </w:r>
      <w:r w:rsidR="002646CD" w:rsidRPr="00733123">
        <w:t>CO</w:t>
      </w:r>
      <w:r w:rsidR="002646CD" w:rsidRPr="00B9713D">
        <w:t>+N</w:t>
      </w:r>
      <w:r w:rsidR="002646CD" w:rsidRPr="00733123">
        <w:t>CT</w:t>
      </w:r>
      <w:r w:rsidR="002646CD" w:rsidRPr="00B9713D">
        <w:t>+N</w:t>
      </w:r>
      <w:r w:rsidR="002646CD" w:rsidRPr="00733123">
        <w:t>CWśr</w:t>
      </w:r>
      <w:r w:rsidR="002646CD" w:rsidRPr="00B9713D">
        <w:t>+N</w:t>
      </w:r>
      <w:r w:rsidR="002646CD" w:rsidRPr="00733123">
        <w:t>INNE</w:t>
      </w:r>
      <w:proofErr w:type="spellEnd"/>
      <w:r w:rsidRPr="00B9713D">
        <w:t>: 0,1</w:t>
      </w:r>
      <w:r w:rsidR="002646CD" w:rsidRPr="00B9713D">
        <w:t>005</w:t>
      </w:r>
      <w:r w:rsidRPr="00B9713D">
        <w:t xml:space="preserve"> MW,</w:t>
      </w:r>
    </w:p>
    <w:p w14:paraId="21C5BF60" w14:textId="0371804F" w:rsidR="002646CD" w:rsidRPr="00A06EA3" w:rsidRDefault="00A338B3" w:rsidP="00B151E9">
      <w:pPr>
        <w:pStyle w:val="Akapitzlist"/>
      </w:pPr>
      <w:r w:rsidRPr="00B9713D">
        <w:t>Dotychczasowa grupa taryfowa: A3/B1/C3,</w:t>
      </w:r>
    </w:p>
    <w:p w14:paraId="3A4B96B9" w14:textId="77777777" w:rsidR="002646CD" w:rsidRPr="00B9713D" w:rsidRDefault="00A338B3" w:rsidP="00B151E9">
      <w:pPr>
        <w:pStyle w:val="Akapitzlist"/>
      </w:pPr>
      <w:r w:rsidRPr="00B9713D">
        <w:t>Węzeł cieplny jest własnością Zamawiającego,</w:t>
      </w:r>
    </w:p>
    <w:p w14:paraId="00E210AD" w14:textId="77777777" w:rsidR="005B48C4" w:rsidRPr="006E36FA" w:rsidRDefault="00A338B3" w:rsidP="00B151E9">
      <w:pPr>
        <w:pStyle w:val="Akapitzlist"/>
      </w:pPr>
      <w:r w:rsidRPr="00B9713D">
        <w:t xml:space="preserve">Układ pomiarowo – rozliczeniowy mierzący całkowite ciepło dostarczane do węzła cieplnego jest własnością </w:t>
      </w:r>
      <w:proofErr w:type="spellStart"/>
      <w:r w:rsidRPr="00B9713D">
        <w:t>Veolia</w:t>
      </w:r>
      <w:proofErr w:type="spellEnd"/>
      <w:r w:rsidRPr="00B9713D">
        <w:t xml:space="preserve"> Energia Warszawa S.A. i jest zainstalowany </w:t>
      </w:r>
      <w:r w:rsidR="002646CD" w:rsidRPr="00B9713D">
        <w:br/>
      </w:r>
      <w:r w:rsidRPr="006E36FA">
        <w:t>w makiecie węzła cieplnego.</w:t>
      </w:r>
    </w:p>
    <w:p w14:paraId="7BA66BAD" w14:textId="1DEFFAF9" w:rsidR="00523C0C" w:rsidRDefault="004C4847" w:rsidP="00733123">
      <w:r w:rsidRPr="006E36FA">
        <w:t>Planowane docelowe roczne zużycie energi</w:t>
      </w:r>
      <w:r w:rsidR="00B1487F" w:rsidRPr="006E36FA">
        <w:t xml:space="preserve">i </w:t>
      </w:r>
      <w:r w:rsidR="002561F2">
        <w:t>cieplnej</w:t>
      </w:r>
      <w:r w:rsidR="00B1487F" w:rsidRPr="006E36FA">
        <w:t xml:space="preserve"> wynosić </w:t>
      </w:r>
      <w:r w:rsidR="00B1487F" w:rsidRPr="00F216C5">
        <w:t xml:space="preserve">będzie </w:t>
      </w:r>
      <w:r w:rsidR="00722434">
        <w:rPr>
          <w:highlight w:val="yellow"/>
        </w:rPr>
        <w:t>803</w:t>
      </w:r>
      <w:r w:rsidR="006E36FA" w:rsidRPr="002614DF">
        <w:rPr>
          <w:highlight w:val="yellow"/>
        </w:rPr>
        <w:t xml:space="preserve"> GJ.</w:t>
      </w:r>
    </w:p>
    <w:p w14:paraId="3A7DB9D8" w14:textId="0D2DEF92" w:rsidR="00523C0C" w:rsidRPr="009B19B0" w:rsidRDefault="00523C0C" w:rsidP="00B151E9">
      <w:pPr>
        <w:pStyle w:val="Akapitzlist"/>
        <w:numPr>
          <w:ilvl w:val="0"/>
          <w:numId w:val="24"/>
        </w:numPr>
      </w:pPr>
      <w:r w:rsidRPr="00F7708F">
        <w:t xml:space="preserve">Budynek biurowy ul. Krucza 5/11D – dz. </w:t>
      </w:r>
      <w:r w:rsidR="007810C2">
        <w:t>117/4</w:t>
      </w:r>
      <w:r w:rsidRPr="00F7708F">
        <w:t xml:space="preserve"> obręb 5-05-04</w:t>
      </w:r>
    </w:p>
    <w:p w14:paraId="044F6B5D" w14:textId="7BB5E357" w:rsidR="00523C0C" w:rsidRPr="00713CC2" w:rsidRDefault="00523C0C" w:rsidP="00F7708F">
      <w:r w:rsidRPr="00B9713D">
        <w:t xml:space="preserve">Rozgraniczenie odbiorcy i sprzedawcy: zawory </w:t>
      </w:r>
      <w:r w:rsidR="00567F08">
        <w:t>węzła od strony instalacji odbiorczej</w:t>
      </w:r>
      <w:r>
        <w:t>.</w:t>
      </w:r>
    </w:p>
    <w:p w14:paraId="75D684BB" w14:textId="77777777" w:rsidR="00523C0C" w:rsidRPr="00345E9A" w:rsidRDefault="00523C0C" w:rsidP="00F7708F">
      <w:pPr>
        <w:rPr>
          <w:b/>
          <w:bCs/>
        </w:rPr>
      </w:pPr>
      <w:r w:rsidRPr="00345E9A">
        <w:rPr>
          <w:b/>
          <w:bCs/>
        </w:rPr>
        <w:t>Dane dotyczące zamówionej mocy cieplnej:</w:t>
      </w:r>
    </w:p>
    <w:p w14:paraId="41AEF1BF" w14:textId="77777777" w:rsidR="00523C0C" w:rsidRPr="00ED24E1" w:rsidRDefault="00523C0C" w:rsidP="00B151E9">
      <w:pPr>
        <w:pStyle w:val="Akapitzlist"/>
        <w:numPr>
          <w:ilvl w:val="0"/>
          <w:numId w:val="29"/>
        </w:numPr>
      </w:pPr>
      <w:r w:rsidRPr="00B9713D">
        <w:t>Moc cieplna na potrzeby ogrzewania N</w:t>
      </w:r>
      <w:r w:rsidRPr="00B151E9">
        <w:rPr>
          <w:vertAlign w:val="subscript"/>
        </w:rPr>
        <w:t>CO</w:t>
      </w:r>
      <w:r w:rsidRPr="00B9713D">
        <w:t>: 0,</w:t>
      </w:r>
      <w:r>
        <w:t>0180</w:t>
      </w:r>
      <w:r w:rsidRPr="00B9713D">
        <w:t xml:space="preserve"> MW,</w:t>
      </w:r>
    </w:p>
    <w:p w14:paraId="6F7CF0F2" w14:textId="77777777" w:rsidR="00523C0C" w:rsidRPr="008E1044" w:rsidRDefault="00523C0C" w:rsidP="00B151E9">
      <w:pPr>
        <w:pStyle w:val="Akapitzlist"/>
        <w:numPr>
          <w:ilvl w:val="0"/>
          <w:numId w:val="29"/>
        </w:numPr>
      </w:pPr>
      <w:r w:rsidRPr="008E1044">
        <w:lastRenderedPageBreak/>
        <w:t>Moc cieplna na potrzeby c.t. N</w:t>
      </w:r>
      <w:r w:rsidRPr="00B151E9">
        <w:rPr>
          <w:vertAlign w:val="subscript"/>
        </w:rPr>
        <w:t>CT</w:t>
      </w:r>
      <w:r w:rsidRPr="008E1044">
        <w:t>: 0,047</w:t>
      </w:r>
      <w:r>
        <w:t>1,</w:t>
      </w:r>
    </w:p>
    <w:p w14:paraId="27345579" w14:textId="77777777" w:rsidR="00523C0C" w:rsidRPr="00271B54" w:rsidRDefault="00523C0C" w:rsidP="00B151E9">
      <w:pPr>
        <w:pStyle w:val="Akapitzlist"/>
        <w:numPr>
          <w:ilvl w:val="0"/>
          <w:numId w:val="29"/>
        </w:numPr>
        <w:spacing w:after="0"/>
      </w:pPr>
      <w:r w:rsidRPr="00271B54">
        <w:t>Moc cieplna na potrzeby ciepłej wody:</w:t>
      </w:r>
    </w:p>
    <w:p w14:paraId="1DBFC99E" w14:textId="77777777" w:rsidR="00523C0C" w:rsidRPr="00B9713D" w:rsidRDefault="00523C0C" w:rsidP="00B151E9">
      <w:pPr>
        <w:spacing w:after="0"/>
        <w:ind w:left="1440"/>
      </w:pPr>
      <w:proofErr w:type="spellStart"/>
      <w:r w:rsidRPr="00B9713D">
        <w:t>N</w:t>
      </w:r>
      <w:r w:rsidRPr="00F379AD">
        <w:rPr>
          <w:vertAlign w:val="subscript"/>
        </w:rPr>
        <w:t>CW</w:t>
      </w:r>
      <w:r w:rsidRPr="00F379AD">
        <w:rPr>
          <w:vertAlign w:val="superscript"/>
        </w:rPr>
        <w:t>max</w:t>
      </w:r>
      <w:proofErr w:type="spellEnd"/>
      <w:r w:rsidRPr="00B9713D">
        <w:t>. 0,0</w:t>
      </w:r>
      <w:r>
        <w:t>116</w:t>
      </w:r>
      <w:r w:rsidRPr="00B9713D">
        <w:t xml:space="preserve"> MW,</w:t>
      </w:r>
    </w:p>
    <w:p w14:paraId="61A670E3" w14:textId="77777777" w:rsidR="00523C0C" w:rsidRPr="00271B54" w:rsidRDefault="00523C0C" w:rsidP="00B151E9">
      <w:pPr>
        <w:spacing w:after="0"/>
        <w:ind w:left="1440"/>
      </w:pPr>
      <w:proofErr w:type="spellStart"/>
      <w:r w:rsidRPr="00B9713D">
        <w:t>N</w:t>
      </w:r>
      <w:r w:rsidRPr="00F379AD">
        <w:rPr>
          <w:vertAlign w:val="subscript"/>
        </w:rPr>
        <w:t>CW</w:t>
      </w:r>
      <w:r w:rsidRPr="00F379AD">
        <w:rPr>
          <w:vertAlign w:val="superscript"/>
        </w:rPr>
        <w:t>śr</w:t>
      </w:r>
      <w:proofErr w:type="spellEnd"/>
      <w:r w:rsidRPr="00B9713D">
        <w:t>. 0,0</w:t>
      </w:r>
      <w:r>
        <w:t>058</w:t>
      </w:r>
      <w:r w:rsidRPr="00B9713D">
        <w:t xml:space="preserve"> MW,</w:t>
      </w:r>
    </w:p>
    <w:p w14:paraId="4945A109" w14:textId="77777777" w:rsidR="00523C0C" w:rsidRPr="00B9713D" w:rsidRDefault="00523C0C" w:rsidP="00B151E9">
      <w:pPr>
        <w:pStyle w:val="Akapitzlist"/>
        <w:numPr>
          <w:ilvl w:val="0"/>
          <w:numId w:val="29"/>
        </w:numPr>
        <w:spacing w:after="0"/>
      </w:pPr>
      <w:r w:rsidRPr="00B9713D">
        <w:t>Zamówiona moc cieplna N</w:t>
      </w:r>
      <w:r w:rsidRPr="00B151E9">
        <w:rPr>
          <w:vertAlign w:val="subscript"/>
        </w:rPr>
        <w:t>Z</w:t>
      </w:r>
      <w:r w:rsidRPr="00B9713D">
        <w:t>=</w:t>
      </w:r>
      <w:proofErr w:type="spellStart"/>
      <w:r w:rsidRPr="00B9713D">
        <w:t>N</w:t>
      </w:r>
      <w:r w:rsidRPr="00B151E9">
        <w:rPr>
          <w:vertAlign w:val="subscript"/>
        </w:rPr>
        <w:t>CO</w:t>
      </w:r>
      <w:r w:rsidRPr="00B9713D">
        <w:t>+N</w:t>
      </w:r>
      <w:r w:rsidRPr="00B151E9">
        <w:rPr>
          <w:vertAlign w:val="subscript"/>
        </w:rPr>
        <w:t>CT</w:t>
      </w:r>
      <w:r w:rsidRPr="00B9713D">
        <w:t>+N</w:t>
      </w:r>
      <w:r w:rsidRPr="00B151E9">
        <w:rPr>
          <w:vertAlign w:val="subscript"/>
        </w:rPr>
        <w:t>CW</w:t>
      </w:r>
      <w:r w:rsidRPr="00B151E9">
        <w:rPr>
          <w:vertAlign w:val="superscript"/>
        </w:rPr>
        <w:t>śr</w:t>
      </w:r>
      <w:r w:rsidRPr="00B9713D">
        <w:t>+N</w:t>
      </w:r>
      <w:r w:rsidRPr="00B151E9">
        <w:rPr>
          <w:vertAlign w:val="subscript"/>
        </w:rPr>
        <w:t>INNE</w:t>
      </w:r>
      <w:proofErr w:type="spellEnd"/>
      <w:r w:rsidRPr="00B9713D">
        <w:t>: 0,</w:t>
      </w:r>
      <w:r>
        <w:t>0709</w:t>
      </w:r>
      <w:r w:rsidRPr="00B9713D">
        <w:t xml:space="preserve"> MW,</w:t>
      </w:r>
    </w:p>
    <w:p w14:paraId="468645D1" w14:textId="5A02A88B" w:rsidR="00523C0C" w:rsidRPr="00A06EA3" w:rsidRDefault="00523C0C" w:rsidP="00B151E9">
      <w:pPr>
        <w:pStyle w:val="Akapitzlist"/>
        <w:numPr>
          <w:ilvl w:val="0"/>
          <w:numId w:val="29"/>
        </w:numPr>
      </w:pPr>
      <w:r w:rsidRPr="00B9713D">
        <w:t>Dotychczasowa grupa taryfowa: A3/B1/C</w:t>
      </w:r>
      <w:r>
        <w:t>1</w:t>
      </w:r>
      <w:r w:rsidRPr="00B9713D">
        <w:t>,</w:t>
      </w:r>
    </w:p>
    <w:p w14:paraId="283130A1" w14:textId="77777777" w:rsidR="00523C0C" w:rsidRPr="00AD4620" w:rsidRDefault="00523C0C" w:rsidP="00B151E9">
      <w:pPr>
        <w:pStyle w:val="Akapitzlist"/>
        <w:numPr>
          <w:ilvl w:val="0"/>
          <w:numId w:val="29"/>
        </w:numPr>
      </w:pPr>
      <w:r w:rsidRPr="00AD4620">
        <w:t xml:space="preserve">Węzeł cieplny jest własnością </w:t>
      </w:r>
      <w:r>
        <w:t xml:space="preserve">Sprzedawcy - </w:t>
      </w:r>
      <w:proofErr w:type="spellStart"/>
      <w:r w:rsidRPr="00AD4620">
        <w:t>Veolia</w:t>
      </w:r>
      <w:proofErr w:type="spellEnd"/>
      <w:r w:rsidRPr="00AD4620">
        <w:t xml:space="preserve"> Energia Warszawa S.A.,</w:t>
      </w:r>
    </w:p>
    <w:p w14:paraId="022351D4" w14:textId="77777777" w:rsidR="00523C0C" w:rsidRPr="00B9713D" w:rsidRDefault="00523C0C" w:rsidP="00B151E9">
      <w:pPr>
        <w:pStyle w:val="Akapitzlist"/>
      </w:pPr>
      <w:r w:rsidRPr="00AD4620">
        <w:t xml:space="preserve">Układ pomiarowo – rozliczeniowy mierzący </w:t>
      </w:r>
      <w:r w:rsidRPr="00B9713D">
        <w:t xml:space="preserve">całkowite ciepło dostarczane do węzła cieplnego jest własnością </w:t>
      </w:r>
      <w:proofErr w:type="spellStart"/>
      <w:r w:rsidRPr="00B9713D">
        <w:t>Veolia</w:t>
      </w:r>
      <w:proofErr w:type="spellEnd"/>
      <w:r w:rsidRPr="00B9713D">
        <w:t xml:space="preserve"> Energia Warszawa S.A. i jest zainstalowany </w:t>
      </w:r>
      <w:r w:rsidRPr="00B9713D">
        <w:br/>
        <w:t>w makiecie węzła cieplnego.</w:t>
      </w:r>
    </w:p>
    <w:p w14:paraId="0BC3F183" w14:textId="4444D12B" w:rsidR="00523C0C" w:rsidRDefault="00523C0C" w:rsidP="00F7708F">
      <w:r w:rsidRPr="00B336BF">
        <w:t xml:space="preserve">Planowane docelowe roczne zużycie energii </w:t>
      </w:r>
      <w:r>
        <w:t>cieplnej</w:t>
      </w:r>
      <w:r w:rsidRPr="00B336BF">
        <w:t xml:space="preserve"> wynosić </w:t>
      </w:r>
      <w:r w:rsidRPr="00F216C5">
        <w:t xml:space="preserve">będzie </w:t>
      </w:r>
      <w:r w:rsidR="00722434">
        <w:rPr>
          <w:highlight w:val="yellow"/>
        </w:rPr>
        <w:t>435</w:t>
      </w:r>
      <w:r w:rsidRPr="00524CB7">
        <w:rPr>
          <w:highlight w:val="yellow"/>
        </w:rPr>
        <w:t xml:space="preserve"> GJ</w:t>
      </w:r>
      <w:r w:rsidRPr="00F216C5">
        <w:t>.</w:t>
      </w:r>
    </w:p>
    <w:p w14:paraId="7714E9EE" w14:textId="2E1575F8" w:rsidR="00600B5B" w:rsidRPr="009B19B0" w:rsidRDefault="0049627C" w:rsidP="00B151E9">
      <w:pPr>
        <w:pStyle w:val="Akapitzlist"/>
        <w:numPr>
          <w:ilvl w:val="0"/>
          <w:numId w:val="24"/>
        </w:numPr>
      </w:pPr>
      <w:r w:rsidRPr="00F159C7">
        <w:t>Obiekty przy ul. Zaruskiego 6A</w:t>
      </w:r>
      <w:r w:rsidR="00600B5B" w:rsidRPr="00F159C7">
        <w:t xml:space="preserve"> – dz. </w:t>
      </w:r>
      <w:r w:rsidRPr="00F159C7">
        <w:t>15 i 16</w:t>
      </w:r>
      <w:r w:rsidR="00600B5B" w:rsidRPr="00F159C7">
        <w:t xml:space="preserve"> obręb 5-0</w:t>
      </w:r>
      <w:r w:rsidRPr="00F159C7">
        <w:t>6</w:t>
      </w:r>
      <w:r w:rsidR="00600B5B" w:rsidRPr="00F159C7">
        <w:t>-</w:t>
      </w:r>
      <w:r w:rsidRPr="00F159C7">
        <w:t>11</w:t>
      </w:r>
    </w:p>
    <w:p w14:paraId="785F4A44" w14:textId="77777777" w:rsidR="00600B5B" w:rsidRPr="00713CC2" w:rsidRDefault="00600B5B" w:rsidP="00F159C7">
      <w:r w:rsidRPr="00B9713D">
        <w:t xml:space="preserve">Rozgraniczenie odbiorcy i sprzedawcy: </w:t>
      </w:r>
      <w:r w:rsidR="0049627C">
        <w:t>inne miejsce wcinki do s.c. VWAW</w:t>
      </w:r>
      <w:r>
        <w:t>.</w:t>
      </w:r>
    </w:p>
    <w:p w14:paraId="7AB107D0" w14:textId="77777777" w:rsidR="00600B5B" w:rsidRPr="00345E9A" w:rsidRDefault="00600B5B" w:rsidP="00F159C7">
      <w:pPr>
        <w:rPr>
          <w:b/>
          <w:bCs/>
        </w:rPr>
      </w:pPr>
      <w:r w:rsidRPr="00345E9A">
        <w:rPr>
          <w:b/>
          <w:bCs/>
        </w:rPr>
        <w:t>Dane dotyczące zamówionej mocy cieplnej:</w:t>
      </w:r>
    </w:p>
    <w:p w14:paraId="7485B32A" w14:textId="77777777" w:rsidR="00600B5B" w:rsidRPr="008E1044" w:rsidRDefault="00600B5B" w:rsidP="00B151E9">
      <w:pPr>
        <w:pStyle w:val="Akapitzlist"/>
        <w:numPr>
          <w:ilvl w:val="0"/>
          <w:numId w:val="31"/>
        </w:numPr>
      </w:pPr>
      <w:r w:rsidRPr="008E1044">
        <w:t>Moc cieplna na potrzeby c.t. N</w:t>
      </w:r>
      <w:r w:rsidRPr="00B151E9">
        <w:rPr>
          <w:vertAlign w:val="subscript"/>
        </w:rPr>
        <w:t>CT</w:t>
      </w:r>
      <w:r w:rsidRPr="008E1044">
        <w:t xml:space="preserve">: </w:t>
      </w:r>
      <w:r w:rsidR="0049627C">
        <w:t>0,2711 MW</w:t>
      </w:r>
      <w:r>
        <w:t>,</w:t>
      </w:r>
    </w:p>
    <w:p w14:paraId="48375528" w14:textId="77777777" w:rsidR="00600B5B" w:rsidRPr="00B9713D" w:rsidRDefault="00600B5B" w:rsidP="00B151E9">
      <w:pPr>
        <w:pStyle w:val="Akapitzlist"/>
      </w:pPr>
      <w:r w:rsidRPr="00B9713D">
        <w:t>Zamówiona moc cieplna N</w:t>
      </w:r>
      <w:r w:rsidRPr="00B9713D">
        <w:rPr>
          <w:vertAlign w:val="subscript"/>
        </w:rPr>
        <w:t>Z</w:t>
      </w:r>
      <w:r w:rsidRPr="00B9713D">
        <w:t>=</w:t>
      </w:r>
      <w:proofErr w:type="spellStart"/>
      <w:r w:rsidRPr="00B9713D">
        <w:t>N</w:t>
      </w:r>
      <w:r w:rsidRPr="00B9713D">
        <w:rPr>
          <w:vertAlign w:val="subscript"/>
        </w:rPr>
        <w:t>CO</w:t>
      </w:r>
      <w:r w:rsidRPr="00B9713D">
        <w:t>+N</w:t>
      </w:r>
      <w:r w:rsidRPr="00B9713D">
        <w:rPr>
          <w:vertAlign w:val="subscript"/>
        </w:rPr>
        <w:t>CT</w:t>
      </w:r>
      <w:r w:rsidRPr="00B9713D">
        <w:t>+N</w:t>
      </w:r>
      <w:r w:rsidRPr="00B9713D">
        <w:rPr>
          <w:vertAlign w:val="subscript"/>
        </w:rPr>
        <w:t>CW</w:t>
      </w:r>
      <w:r w:rsidRPr="00B9713D">
        <w:rPr>
          <w:vertAlign w:val="superscript"/>
        </w:rPr>
        <w:t>śr</w:t>
      </w:r>
      <w:r w:rsidRPr="00B9713D">
        <w:t>+N</w:t>
      </w:r>
      <w:r w:rsidRPr="00B9713D">
        <w:rPr>
          <w:vertAlign w:val="subscript"/>
        </w:rPr>
        <w:t>INNE</w:t>
      </w:r>
      <w:proofErr w:type="spellEnd"/>
      <w:r w:rsidRPr="00B9713D">
        <w:t xml:space="preserve">: </w:t>
      </w:r>
      <w:r w:rsidR="0049627C">
        <w:t>0,2711</w:t>
      </w:r>
      <w:r w:rsidRPr="00B9713D">
        <w:t xml:space="preserve"> MW,</w:t>
      </w:r>
    </w:p>
    <w:p w14:paraId="5BF1B918" w14:textId="45AE9498" w:rsidR="00600B5B" w:rsidRPr="00196BE8" w:rsidRDefault="00600B5B" w:rsidP="00B151E9">
      <w:pPr>
        <w:pStyle w:val="Akapitzlist"/>
      </w:pPr>
      <w:r w:rsidRPr="00B9713D">
        <w:t>Dotychczasowa grupa taryfowa: A3/B1/C</w:t>
      </w:r>
      <w:r w:rsidR="0049627C">
        <w:t>3</w:t>
      </w:r>
      <w:r w:rsidRPr="00B9713D">
        <w:t>,</w:t>
      </w:r>
    </w:p>
    <w:p w14:paraId="6356B485" w14:textId="77777777" w:rsidR="00600B5B" w:rsidRPr="00AD4620" w:rsidRDefault="00600B5B" w:rsidP="00B151E9">
      <w:pPr>
        <w:pStyle w:val="Akapitzlist"/>
      </w:pPr>
      <w:r w:rsidRPr="00AD4620">
        <w:t xml:space="preserve">Węzeł cieplny jest własnością </w:t>
      </w:r>
      <w:r w:rsidR="0049627C">
        <w:t>Zamawiającego</w:t>
      </w:r>
      <w:r w:rsidRPr="00AD4620">
        <w:t>,</w:t>
      </w:r>
    </w:p>
    <w:p w14:paraId="10583440" w14:textId="77777777" w:rsidR="00600B5B" w:rsidRPr="00B9713D" w:rsidRDefault="00600B5B" w:rsidP="00B151E9">
      <w:pPr>
        <w:pStyle w:val="Akapitzlist"/>
      </w:pPr>
      <w:r w:rsidRPr="00AD4620">
        <w:t xml:space="preserve">Układ pomiarowo – rozliczeniowy mierzący </w:t>
      </w:r>
      <w:r w:rsidRPr="00B9713D">
        <w:t xml:space="preserve">całkowite ciepło dostarczane do węzła cieplnego jest własnością </w:t>
      </w:r>
      <w:proofErr w:type="spellStart"/>
      <w:r w:rsidRPr="00B9713D">
        <w:t>Veolia</w:t>
      </w:r>
      <w:proofErr w:type="spellEnd"/>
      <w:r w:rsidRPr="00B9713D">
        <w:t xml:space="preserve"> Energia Warszawa S.A. i jest zainstalowany </w:t>
      </w:r>
      <w:r w:rsidRPr="00B9713D">
        <w:br/>
        <w:t>w makiecie węzła cieplnego.</w:t>
      </w:r>
    </w:p>
    <w:p w14:paraId="03356C7A" w14:textId="2E30C13E" w:rsidR="00927001" w:rsidRDefault="00600B5B" w:rsidP="00F159C7">
      <w:r w:rsidRPr="00B336BF">
        <w:t xml:space="preserve">Planowane docelowe roczne zużycie energii </w:t>
      </w:r>
      <w:r>
        <w:t>cieplnej</w:t>
      </w:r>
      <w:r w:rsidRPr="00B336BF">
        <w:t xml:space="preserve"> wynosić </w:t>
      </w:r>
      <w:r w:rsidRPr="00F216C5">
        <w:t>będzie</w:t>
      </w:r>
      <w:r w:rsidR="002E704D">
        <w:t xml:space="preserve"> </w:t>
      </w:r>
      <w:r w:rsidR="00722434">
        <w:rPr>
          <w:highlight w:val="yellow"/>
        </w:rPr>
        <w:t>1 160</w:t>
      </w:r>
      <w:r w:rsidRPr="00B22517">
        <w:rPr>
          <w:highlight w:val="yellow"/>
        </w:rPr>
        <w:t xml:space="preserve"> GJ</w:t>
      </w:r>
      <w:r w:rsidRPr="000B3BFC">
        <w:rPr>
          <w:highlight w:val="yellow"/>
        </w:rPr>
        <w:t>.</w:t>
      </w:r>
    </w:p>
    <w:p w14:paraId="1F7240FD" w14:textId="51456686" w:rsidR="000F3BA8" w:rsidRPr="00D039C9" w:rsidRDefault="000F3BA8" w:rsidP="00F159C7">
      <w:r>
        <w:t>Planowane</w:t>
      </w:r>
      <w:r w:rsidRPr="000F3BA8">
        <w:t xml:space="preserve"> zapotrzebowanie na energię cieplną ma charakter jedynie orientacyjny, służący do porównania ofert. W żadnym wypadku nie stanowi ze strony Zamawiającego zobowiązania do zakupu energii w podanej ilości. Podstawą rozliczenia za sprzedaną energię cieplną będzie faktyczne zużycie energii w GJ oraz zaoferowana przez Wykonawcę cena jednostkowa. Wykonawcy nie będzie przysługiwało jakiekolwiek roszczenie z tytułu pobrania przez Zamawiającego mniejszej niż przewidywana ilość energii cieplnej.</w:t>
      </w:r>
    </w:p>
    <w:p w14:paraId="338F2E48" w14:textId="77777777" w:rsidR="004536F5" w:rsidRPr="00D039C9" w:rsidRDefault="004536F5" w:rsidP="008E7A13">
      <w:pPr>
        <w:pStyle w:val="Nagwek1"/>
      </w:pPr>
      <w:r w:rsidRPr="00D039C9">
        <w:t>Termin wykonania zamówienia</w:t>
      </w:r>
    </w:p>
    <w:p w14:paraId="16EF4F36" w14:textId="23E5759D" w:rsidR="004536F5" w:rsidRPr="00D039C9" w:rsidRDefault="004536F5" w:rsidP="00F159C7">
      <w:r w:rsidRPr="00D039C9">
        <w:t xml:space="preserve">Przewidywany okres wykonania zamówienia </w:t>
      </w:r>
      <w:r w:rsidRPr="00C97806">
        <w:rPr>
          <w:highlight w:val="yellow"/>
        </w:rPr>
        <w:t>od 01</w:t>
      </w:r>
      <w:r w:rsidR="00116278" w:rsidRPr="00C97806">
        <w:rPr>
          <w:highlight w:val="yellow"/>
        </w:rPr>
        <w:t xml:space="preserve"> stycznia </w:t>
      </w:r>
      <w:r w:rsidRPr="00C97806">
        <w:rPr>
          <w:highlight w:val="yellow"/>
        </w:rPr>
        <w:t>20</w:t>
      </w:r>
      <w:r w:rsidR="00116278" w:rsidRPr="00C97806">
        <w:rPr>
          <w:highlight w:val="yellow"/>
        </w:rPr>
        <w:t>2</w:t>
      </w:r>
      <w:r w:rsidR="00433743" w:rsidRPr="00C97806">
        <w:rPr>
          <w:highlight w:val="yellow"/>
        </w:rPr>
        <w:t>2</w:t>
      </w:r>
      <w:r w:rsidR="00F216C5" w:rsidRPr="00C97806">
        <w:rPr>
          <w:highlight w:val="yellow"/>
        </w:rPr>
        <w:t xml:space="preserve"> r.</w:t>
      </w:r>
      <w:r w:rsidR="00823DB8" w:rsidRPr="00C97806">
        <w:rPr>
          <w:highlight w:val="yellow"/>
        </w:rPr>
        <w:t xml:space="preserve"> do 31</w:t>
      </w:r>
      <w:r w:rsidR="00116278" w:rsidRPr="00C97806">
        <w:rPr>
          <w:highlight w:val="yellow"/>
        </w:rPr>
        <w:t xml:space="preserve"> grudnia </w:t>
      </w:r>
      <w:r w:rsidRPr="00C97806">
        <w:rPr>
          <w:highlight w:val="yellow"/>
        </w:rPr>
        <w:t>20</w:t>
      </w:r>
      <w:r w:rsidR="00116278" w:rsidRPr="00C97806">
        <w:rPr>
          <w:highlight w:val="yellow"/>
        </w:rPr>
        <w:t>2</w:t>
      </w:r>
      <w:r w:rsidR="00433743" w:rsidRPr="00C97806">
        <w:rPr>
          <w:highlight w:val="yellow"/>
        </w:rPr>
        <w:t>4</w:t>
      </w:r>
      <w:r w:rsidRPr="00C97806">
        <w:rPr>
          <w:highlight w:val="yellow"/>
        </w:rPr>
        <w:t xml:space="preserve"> r.</w:t>
      </w:r>
      <w:r w:rsidRPr="00D039C9">
        <w:t xml:space="preserve"> </w:t>
      </w:r>
    </w:p>
    <w:p w14:paraId="75BE86EE" w14:textId="77777777" w:rsidR="004536F5" w:rsidRPr="00D039C9" w:rsidRDefault="004536F5" w:rsidP="004536F5"/>
    <w:p w14:paraId="294B6122" w14:textId="557E26D0" w:rsidR="004536F5" w:rsidRPr="00D039C9" w:rsidRDefault="004536F5" w:rsidP="008E7A13">
      <w:pPr>
        <w:pStyle w:val="Nagwek1"/>
      </w:pPr>
      <w:r w:rsidRPr="00D039C9">
        <w:lastRenderedPageBreak/>
        <w:t>Wspólny słownik zamówień CPV:</w:t>
      </w:r>
    </w:p>
    <w:p w14:paraId="085D6A00" w14:textId="3E705BFA" w:rsidR="004536F5" w:rsidRPr="00D039C9" w:rsidRDefault="00C60ACC" w:rsidP="00F159C7">
      <w:r w:rsidRPr="00C60ACC">
        <w:t>09320000 – 8 Para, gorąca woda i podobne produkty</w:t>
      </w:r>
      <w:r w:rsidR="004536F5" w:rsidRPr="00D039C9">
        <w:t>.</w:t>
      </w:r>
    </w:p>
    <w:p w14:paraId="02B82DD6" w14:textId="7B60550F" w:rsidR="004536F5" w:rsidRPr="00AD4620" w:rsidRDefault="004536F5" w:rsidP="00F159C7">
      <w:r w:rsidRPr="009D470A">
        <w:t xml:space="preserve">Wykorzystanie mniejszej niż przewidywana ilości energii </w:t>
      </w:r>
      <w:r w:rsidR="00C60ACC">
        <w:t>cieplnej</w:t>
      </w:r>
      <w:r w:rsidRPr="009D470A">
        <w:t xml:space="preserve"> w czasie trwania umowy w</w:t>
      </w:r>
      <w:r w:rsidR="00EB70E0" w:rsidRPr="009D470A">
        <w:t> </w:t>
      </w:r>
      <w:r w:rsidRPr="009D470A">
        <w:t xml:space="preserve">żadnym razie nie może być podstawą jakichkolwiek roszczeń ze strony </w:t>
      </w:r>
      <w:r w:rsidRPr="00AD4620">
        <w:t>Sprzedawcy.</w:t>
      </w:r>
    </w:p>
    <w:p w14:paraId="6EC3282E" w14:textId="72377A3B" w:rsidR="004536F5" w:rsidRPr="00657199" w:rsidRDefault="004536F5" w:rsidP="00F159C7">
      <w:r w:rsidRPr="00657199">
        <w:t xml:space="preserve">Dostawa energii </w:t>
      </w:r>
      <w:r w:rsidR="00C60ACC" w:rsidRPr="00657199">
        <w:t>cieplnej</w:t>
      </w:r>
      <w:r w:rsidRPr="00657199">
        <w:t xml:space="preserve"> odbywać się będzie na warunkach określonych w Ustawie z dnia </w:t>
      </w:r>
      <w:r w:rsidR="004702A7" w:rsidRPr="00657199">
        <w:br/>
      </w:r>
      <w:r w:rsidRPr="00657199">
        <w:t>10</w:t>
      </w:r>
      <w:r w:rsidR="004702A7" w:rsidRPr="00657199">
        <w:t xml:space="preserve"> </w:t>
      </w:r>
      <w:r w:rsidRPr="00657199">
        <w:t xml:space="preserve">kwietnia 1997r. Prawo energetyczne </w:t>
      </w:r>
      <w:r w:rsidR="000B3BFC">
        <w:t>(</w:t>
      </w:r>
      <w:r w:rsidR="008623F8" w:rsidRPr="006428B4">
        <w:t>Dz.U.2021.716 ze zm.</w:t>
      </w:r>
      <w:r w:rsidR="000B3BFC">
        <w:t>)</w:t>
      </w:r>
      <w:r w:rsidRPr="00657199">
        <w:t>, przepisach wykonawczych do tej ustawy.</w:t>
      </w:r>
      <w:r w:rsidR="0074776A">
        <w:t xml:space="preserve"> </w:t>
      </w:r>
    </w:p>
    <w:p w14:paraId="4FE96AD1" w14:textId="7945590A" w:rsidR="004536F5" w:rsidRPr="009D470A" w:rsidRDefault="004536F5" w:rsidP="00F159C7">
      <w:r w:rsidRPr="00B336BF">
        <w:t xml:space="preserve">Przedmiot zamówienia w okresie realizacji będzie obejmował dostawę/sprzedaż energii </w:t>
      </w:r>
      <w:r w:rsidR="00C60ACC" w:rsidRPr="00B336BF">
        <w:t>cieplnej</w:t>
      </w:r>
      <w:r w:rsidRPr="00B336BF">
        <w:t xml:space="preserve"> oraz dystrybucję zgodnie z parametrami jakościowymi energii </w:t>
      </w:r>
      <w:r w:rsidR="00C60ACC" w:rsidRPr="00B336BF">
        <w:t>cieplnej</w:t>
      </w:r>
      <w:r w:rsidRPr="00B336BF">
        <w:t xml:space="preserve"> ustalonymi </w:t>
      </w:r>
      <w:r w:rsidRPr="00AD4620">
        <w:t>w ustawie Prawo energetyczne, w przepisach wykonawczych do tej ustawy oraz SWZ.</w:t>
      </w:r>
      <w:r w:rsidR="003A4233" w:rsidRPr="00AD4620">
        <w:t xml:space="preserve"> </w:t>
      </w:r>
      <w:r w:rsidRPr="00AD4620">
        <w:t xml:space="preserve">Faktury </w:t>
      </w:r>
      <w:r w:rsidRPr="009D470A">
        <w:t xml:space="preserve">winny być wystawiane przez Sprzedawcę/Operatora oddzielnie dla każdego obiektu/punktu </w:t>
      </w:r>
      <w:r w:rsidR="00440516">
        <w:t>odbioru</w:t>
      </w:r>
      <w:r w:rsidRPr="009D470A">
        <w:t xml:space="preserve"> energii</w:t>
      </w:r>
      <w:r w:rsidR="00440516">
        <w:t xml:space="preserve"> cieplnej</w:t>
      </w:r>
      <w:r w:rsidRPr="009D470A">
        <w:t>.</w:t>
      </w:r>
    </w:p>
    <w:p w14:paraId="48B3B94E" w14:textId="77777777" w:rsidR="004536F5" w:rsidRPr="009D470A" w:rsidRDefault="004536F5" w:rsidP="00F159C7">
      <w:r w:rsidRPr="009D470A">
        <w:t>Cena oferty, wynikająca z łącznej wartości dostaw i dystrybucji określonych w formularzu cenowym, musi być wyrażona w złotych</w:t>
      </w:r>
      <w:r w:rsidR="003A4233" w:rsidRPr="009D470A">
        <w:t xml:space="preserve"> polskich w sposób jednoznaczny</w:t>
      </w:r>
      <w:r w:rsidR="007C66D7" w:rsidRPr="009D470A">
        <w:t xml:space="preserve">, </w:t>
      </w:r>
      <w:r w:rsidRPr="009D470A">
        <w:t>bez propozycji alternatywnych</w:t>
      </w:r>
      <w:r w:rsidR="003A4233" w:rsidRPr="009D470A">
        <w:t xml:space="preserve"> </w:t>
      </w:r>
      <w:r w:rsidRPr="009D470A">
        <w:t>i winna obejmować</w:t>
      </w:r>
      <w:r w:rsidR="007C66D7" w:rsidRPr="009D470A">
        <w:t xml:space="preserve"> </w:t>
      </w:r>
      <w:r w:rsidRPr="009D470A">
        <w:t>całkowity łączny koszt realizacji zamówienia w/g powyższych założeń, w tym obejmować podatek.</w:t>
      </w:r>
    </w:p>
    <w:p w14:paraId="31D8B5F6" w14:textId="77777777" w:rsidR="001B326D" w:rsidRDefault="001B326D" w:rsidP="00EB70E0">
      <w:pPr>
        <w:ind w:right="345"/>
        <w:jc w:val="both"/>
        <w:rPr>
          <w:rFonts w:ascii="Open Sans" w:hAnsi="Open Sans" w:cs="Open Sans"/>
          <w:b/>
          <w:sz w:val="20"/>
          <w:szCs w:val="20"/>
        </w:rPr>
      </w:pPr>
    </w:p>
    <w:p w14:paraId="61C962ED" w14:textId="77777777" w:rsidR="001B326D" w:rsidRPr="00A9105F" w:rsidRDefault="001B326D" w:rsidP="008E7A13">
      <w:pPr>
        <w:pStyle w:val="Nagwek1"/>
      </w:pPr>
      <w:bookmarkStart w:id="1" w:name="_Hlk532884777"/>
      <w:r w:rsidRPr="00A9105F">
        <w:t>Kryteria oceny ofert</w:t>
      </w:r>
      <w:r w:rsidR="007F2497" w:rsidRPr="00A9105F">
        <w:t>:</w:t>
      </w:r>
    </w:p>
    <w:p w14:paraId="777602EC" w14:textId="77777777" w:rsidR="00163A7E" w:rsidRPr="00961785" w:rsidRDefault="00163A7E" w:rsidP="00163A7E">
      <w:pPr>
        <w:spacing w:after="0"/>
        <w:rPr>
          <w:rFonts w:asciiTheme="minorHAnsi" w:hAnsiTheme="minorHAnsi" w:cstheme="minorHAnsi"/>
        </w:rPr>
      </w:pPr>
      <w:r>
        <w:t>1.</w:t>
      </w:r>
      <w:r>
        <w:tab/>
      </w:r>
      <w:r w:rsidRPr="00961785">
        <w:rPr>
          <w:rFonts w:asciiTheme="minorHAnsi" w:hAnsiTheme="minorHAnsi" w:cstheme="minorHAnsi"/>
        </w:rPr>
        <w:t>Zamawiający dokona oceny ofert według następujących kryteriów i ich wag:</w:t>
      </w:r>
    </w:p>
    <w:p w14:paraId="055B194A" w14:textId="0C93C3C2" w:rsidR="00163A7E" w:rsidRPr="00961785" w:rsidRDefault="00163A7E" w:rsidP="00163A7E">
      <w:pPr>
        <w:pStyle w:val="Akapitzlist"/>
        <w:numPr>
          <w:ilvl w:val="1"/>
          <w:numId w:val="24"/>
        </w:numPr>
        <w:ind w:left="1134"/>
        <w:rPr>
          <w:rFonts w:asciiTheme="minorHAnsi" w:hAnsiTheme="minorHAnsi" w:cstheme="minorHAnsi"/>
        </w:rPr>
      </w:pPr>
      <w:r w:rsidRPr="00961785">
        <w:rPr>
          <w:rFonts w:asciiTheme="minorHAnsi" w:hAnsiTheme="minorHAnsi" w:cstheme="minorHAnsi"/>
        </w:rPr>
        <w:t>„Cena” (C) – 60 pkt.</w:t>
      </w:r>
    </w:p>
    <w:p w14:paraId="12E5E19C" w14:textId="22AF0982" w:rsidR="00163A7E" w:rsidRPr="00961785" w:rsidRDefault="00163A7E" w:rsidP="00163A7E">
      <w:pPr>
        <w:pStyle w:val="Akapitzlist"/>
        <w:numPr>
          <w:ilvl w:val="1"/>
          <w:numId w:val="24"/>
        </w:numPr>
        <w:ind w:left="1134"/>
        <w:rPr>
          <w:rFonts w:asciiTheme="minorHAnsi" w:hAnsiTheme="minorHAnsi" w:cstheme="minorHAnsi"/>
        </w:rPr>
      </w:pPr>
      <w:r w:rsidRPr="00961785">
        <w:rPr>
          <w:rFonts w:asciiTheme="minorHAnsi" w:hAnsiTheme="minorHAnsi" w:cstheme="minorHAnsi"/>
        </w:rPr>
        <w:t>„Czas reakcji na sprawdzenie prawidłowości wskazań układu pomiarowo-rozliczeniowego” (R) – 40 pkt.</w:t>
      </w:r>
    </w:p>
    <w:p w14:paraId="180CDA37" w14:textId="77777777" w:rsidR="00163A7E" w:rsidRPr="00961785" w:rsidRDefault="00163A7E" w:rsidP="00DB78DC">
      <w:pPr>
        <w:spacing w:after="0"/>
        <w:rPr>
          <w:rFonts w:asciiTheme="minorHAnsi" w:hAnsiTheme="minorHAnsi" w:cstheme="minorHAnsi"/>
        </w:rPr>
      </w:pPr>
      <w:r w:rsidRPr="00961785">
        <w:rPr>
          <w:rFonts w:asciiTheme="minorHAnsi" w:hAnsiTheme="minorHAnsi" w:cstheme="minorHAnsi"/>
        </w:rPr>
        <w:t>2.</w:t>
      </w:r>
      <w:r w:rsidRPr="00961785">
        <w:rPr>
          <w:rFonts w:asciiTheme="minorHAnsi" w:hAnsiTheme="minorHAnsi" w:cstheme="minorHAnsi"/>
        </w:rPr>
        <w:tab/>
        <w:t xml:space="preserve">W trakcie oceny kolejno ocenianym ofertom zostaną przyznane punkty: </w:t>
      </w:r>
    </w:p>
    <w:p w14:paraId="401C40D4" w14:textId="53CACAEA" w:rsidR="00163A7E" w:rsidRPr="00961785" w:rsidRDefault="00163A7E" w:rsidP="00DB78DC">
      <w:pPr>
        <w:pStyle w:val="Akapitzlist"/>
        <w:numPr>
          <w:ilvl w:val="0"/>
          <w:numId w:val="46"/>
        </w:numPr>
        <w:spacing w:after="0"/>
        <w:ind w:left="1134"/>
        <w:rPr>
          <w:rFonts w:asciiTheme="minorHAnsi" w:hAnsiTheme="minorHAnsi" w:cstheme="minorHAnsi"/>
        </w:rPr>
      </w:pPr>
      <w:r w:rsidRPr="00961785">
        <w:rPr>
          <w:rFonts w:asciiTheme="minorHAnsi" w:hAnsiTheme="minorHAnsi" w:cstheme="minorHAnsi"/>
        </w:rPr>
        <w:t>w kryterium „Cena” (C) wg poniższego wzoru:</w:t>
      </w:r>
    </w:p>
    <w:p w14:paraId="25D74787" w14:textId="0E659922" w:rsidR="00DB78DC" w:rsidRPr="00961785" w:rsidRDefault="00DB78DC" w:rsidP="00DB78DC">
      <w:pPr>
        <w:pStyle w:val="Akapitzlist"/>
        <w:numPr>
          <w:ilvl w:val="0"/>
          <w:numId w:val="0"/>
        </w:numPr>
        <w:spacing w:after="0"/>
        <w:ind w:left="1134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C=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najniższa zaoferowana cena brutto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cena brutto badanej oferty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 xml:space="preserve"> x 60 pkt</m:t>
          </m:r>
        </m:oMath>
      </m:oMathPara>
    </w:p>
    <w:p w14:paraId="0C8F27A6" w14:textId="24D4F00B" w:rsidR="00163A7E" w:rsidRPr="00961785" w:rsidRDefault="00163A7E" w:rsidP="00163A7E">
      <w:pPr>
        <w:pStyle w:val="Akapitzlist"/>
        <w:numPr>
          <w:ilvl w:val="0"/>
          <w:numId w:val="46"/>
        </w:numPr>
        <w:spacing w:after="0"/>
        <w:ind w:left="1134"/>
        <w:rPr>
          <w:rFonts w:asciiTheme="minorHAnsi" w:hAnsiTheme="minorHAnsi" w:cstheme="minorHAnsi"/>
        </w:rPr>
      </w:pPr>
      <w:r w:rsidRPr="00961785">
        <w:rPr>
          <w:rFonts w:asciiTheme="minorHAnsi" w:hAnsiTheme="minorHAnsi" w:cstheme="minorHAnsi"/>
        </w:rPr>
        <w:t>Punkty w kryterium „czas reakcji na sprawdzenie prawidłowości wskazań układu pomiarowo-rozliczeniowego” (R) zostaną przyznane według poniższego wzoru:</w:t>
      </w:r>
    </w:p>
    <w:p w14:paraId="1809AC17" w14:textId="0617E075" w:rsidR="00FC3D42" w:rsidRPr="00961785" w:rsidRDefault="00FC3D42" w:rsidP="00FC3D42">
      <w:pPr>
        <w:pStyle w:val="Akapitzlist"/>
        <w:numPr>
          <w:ilvl w:val="0"/>
          <w:numId w:val="0"/>
        </w:numPr>
        <w:spacing w:after="0"/>
        <w:ind w:left="1134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R=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najkrótszy czas reakcji wskazany w ofertach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czas reakcji badanej oferty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</w:rPr>
            <m:t xml:space="preserve"> x 40 pkt</m:t>
          </m:r>
        </m:oMath>
      </m:oMathPara>
    </w:p>
    <w:p w14:paraId="4441372A" w14:textId="77777777" w:rsidR="00163A7E" w:rsidRDefault="00163A7E" w:rsidP="002255C9">
      <w:r w:rsidRPr="00961785">
        <w:rPr>
          <w:rFonts w:asciiTheme="minorHAnsi" w:hAnsiTheme="minorHAnsi" w:cstheme="minorHAnsi"/>
        </w:rPr>
        <w:t>Z zastrzeżeniem, że najdłuższy dopuszczalny czas reakcji na sprawd</w:t>
      </w:r>
      <w:r>
        <w:t>zenie prawidłowości wskazań układu pomiarowo – rozliczeniowego w miejscu instalacji wynosi do 96 godzin, natomiast najkrótszy czas, który może być zadeklarowany przez Wykonawcę wynosi 2 godziny, przy czym czas reakcji liczony jest w odniesieniu do dni roboczych.</w:t>
      </w:r>
    </w:p>
    <w:p w14:paraId="14EE2F3C" w14:textId="39C7C6FC" w:rsidR="00163A7E" w:rsidRDefault="00163A7E" w:rsidP="00163A7E">
      <w:r>
        <w:t>W przypadku braku wpisania czasu reakcji w formularzu oferty (</w:t>
      </w:r>
      <w:r w:rsidRPr="006D5E2A">
        <w:t xml:space="preserve">załącznik nr </w:t>
      </w:r>
      <w:r w:rsidR="002255C9" w:rsidRPr="006D5E2A">
        <w:t xml:space="preserve"> </w:t>
      </w:r>
      <w:r w:rsidR="006D5E2A" w:rsidRPr="006D5E2A">
        <w:t>6</w:t>
      </w:r>
      <w:r w:rsidRPr="006D5E2A">
        <w:t xml:space="preserve"> do SWZ)</w:t>
      </w:r>
      <w:r>
        <w:t xml:space="preserve"> zmawiający </w:t>
      </w:r>
      <w:r>
        <w:lastRenderedPageBreak/>
        <w:t xml:space="preserve">uzna, że Wykonawca deklaruje (zgodnie z wymaganiami zamawiającego) czas reakcji 96 godzin. </w:t>
      </w:r>
    </w:p>
    <w:p w14:paraId="1096D6A2" w14:textId="77777777" w:rsidR="00163A7E" w:rsidRDefault="00163A7E" w:rsidP="00163A7E">
      <w:r>
        <w:t xml:space="preserve">Oferta z zaoferowanym czasem dłuższym niż 96 godzin zostanie odrzucona jako niezgodna z treścią SWZ. </w:t>
      </w:r>
    </w:p>
    <w:p w14:paraId="02B9AD0D" w14:textId="3975DAC0" w:rsidR="00163A7E" w:rsidRDefault="00163A7E" w:rsidP="00163A7E">
      <w:r>
        <w:t xml:space="preserve">Punkty będą obliczane z dokładnością do dwóch miejsc po przecinku. </w:t>
      </w:r>
    </w:p>
    <w:p w14:paraId="0C0C030E" w14:textId="7ED0FE2F" w:rsidR="00D92535" w:rsidRPr="00D21F2A" w:rsidRDefault="00163A7E" w:rsidP="00D21F2A">
      <w:pPr>
        <w:rPr>
          <w:rStyle w:val="FontStyle12"/>
          <w:rFonts w:ascii="Calibri" w:hAnsi="Calibri" w:cs="Mangal"/>
          <w:sz w:val="22"/>
          <w:szCs w:val="24"/>
        </w:rPr>
      </w:pPr>
      <w:r>
        <w:t>3.</w:t>
      </w:r>
      <w:r>
        <w:tab/>
        <w:t>Całkowita liczba punktów (K), jaką otrzyma dana oferta, zostanie obliczona będzie wg wzoru:</w:t>
      </w:r>
      <w:r w:rsidR="002255C9">
        <w:t xml:space="preserve"> </w:t>
      </w:r>
      <w:r>
        <w:t>K = C+R</w:t>
      </w:r>
      <w:bookmarkEnd w:id="1"/>
    </w:p>
    <w:p w14:paraId="43DDD82C" w14:textId="06DAC8F4" w:rsidR="00D92535" w:rsidRPr="00A9105F" w:rsidRDefault="00D466E4" w:rsidP="008E7A13">
      <w:pPr>
        <w:pStyle w:val="Nagwek1"/>
      </w:pPr>
      <w:r>
        <w:t>Opcja:</w:t>
      </w:r>
    </w:p>
    <w:p w14:paraId="65D20DFC" w14:textId="7475BD3B" w:rsidR="0016320F" w:rsidRPr="0016320F" w:rsidRDefault="0016320F" w:rsidP="0016320F">
      <w:pPr>
        <w:spacing w:before="100" w:beforeAutospacing="1"/>
        <w:jc w:val="both"/>
      </w:pPr>
      <w:r w:rsidRPr="0016320F">
        <w:t>Zamawiający przewiduje możliwość skorzystania z opcji</w:t>
      </w:r>
      <w:r w:rsidR="001E2BDD">
        <w:t>.</w:t>
      </w:r>
      <w:r w:rsidRPr="0016320F">
        <w:t xml:space="preserve"> Zamawiający może zlecić Wykonawcy za</w:t>
      </w:r>
      <w:r w:rsidR="00D466E4">
        <w:t> </w:t>
      </w:r>
      <w:r w:rsidRPr="0016320F">
        <w:t>dodatkowym wynagrodzeniem zakup i dystrybucję energii cieplnej do wysokości 35 % zamówienia podstawowego. Zamawiający uzależnia możliwość skorzystania z  opcji od dodania nowych punktów odbioru energii cieplnej lub zwiększenia zapotrzebowania na dostawę energii cieplnej do punktów określonych w załączniku nr 1 do SWZ, pod warunkiem posiadania środków finansowych w budżecie. Opcja jest uprawnieniem Zamawiającego, z którego może, ale nie musi skorzystać w ramach realizacji niniejszej umowy. W przypadku nie skorzystania przez Zamawiającego z opcji, Wykonawcy nie</w:t>
      </w:r>
      <w:r w:rsidR="00D466E4">
        <w:t> </w:t>
      </w:r>
      <w:r w:rsidRPr="0016320F">
        <w:t>przysługują żadne roszczenia z tego tytułu. Warunkiem uruchomienia  opcji jest oświadczenie woli Zamawiającego wykonania zamówienia w ramach opcji i złożenie odpowiedniego zamówienia częściowego wykraczającego poza dostawy energii cieplnej stanowiącego zamówienie podstawowe. Nieskorzystanie przez Zamawiającego z opcji nie wymaga podania przyczyn i nie stanowi podstawy jego odpowiedzialności z tytułu niewykonania lub nienależytego wykonania umowy.</w:t>
      </w:r>
    </w:p>
    <w:p w14:paraId="466F781B" w14:textId="77777777" w:rsidR="0016320F" w:rsidRPr="0016320F" w:rsidRDefault="0016320F" w:rsidP="0016320F">
      <w:pPr>
        <w:spacing w:before="100" w:beforeAutospacing="1"/>
        <w:jc w:val="both"/>
        <w:rPr>
          <w:rFonts w:ascii="Open Sans" w:hAnsi="Open Sans" w:cs="Open Sans"/>
          <w:sz w:val="20"/>
          <w:szCs w:val="20"/>
        </w:rPr>
      </w:pPr>
      <w:r w:rsidRPr="0016320F">
        <w:t>W przypadku skorzystania przez Zamawiającego z opcji, realizacja przedmiotu umowy objętego opcją nastąpi na zasadach określonych w niniejszej umowie oraz ofercie Wykonawcy</w:t>
      </w:r>
      <w:r w:rsidRPr="0016320F">
        <w:rPr>
          <w:rFonts w:ascii="Open Sans" w:hAnsi="Open Sans" w:cs="Open Sans"/>
          <w:sz w:val="20"/>
          <w:szCs w:val="20"/>
        </w:rPr>
        <w:t>.</w:t>
      </w:r>
    </w:p>
    <w:p w14:paraId="30BAF0A5" w14:textId="3D5F6B71" w:rsidR="00D92535" w:rsidRDefault="0016320F" w:rsidP="0016320F">
      <w:pPr>
        <w:spacing w:before="100" w:beforeAutospacing="1"/>
        <w:jc w:val="both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16320F">
        <w:rPr>
          <w:rFonts w:ascii="Open Sans" w:hAnsi="Open Sans" w:cs="Open Sans"/>
          <w:sz w:val="20"/>
          <w:szCs w:val="20"/>
        </w:rPr>
        <w:t>Postanowienia umowy w przypadku skorzystania z opcji będzie się stosować odpowiednio.</w:t>
      </w:r>
    </w:p>
    <w:p w14:paraId="565426C7" w14:textId="0D83FCF3" w:rsidR="00406084" w:rsidRPr="00406084" w:rsidRDefault="00843AAA" w:rsidP="008E7A13">
      <w:pPr>
        <w:pStyle w:val="Nagwek1"/>
      </w:pPr>
      <w:r>
        <w:t>K</w:t>
      </w:r>
      <w:r w:rsidR="00406084" w:rsidRPr="00406084">
        <w:t>ompetencj</w:t>
      </w:r>
      <w:r w:rsidR="00406084">
        <w:t>e</w:t>
      </w:r>
      <w:r w:rsidR="00406084" w:rsidRPr="00406084">
        <w:t xml:space="preserve"> lub uprawnie</w:t>
      </w:r>
      <w:r w:rsidR="00406084">
        <w:t>nia</w:t>
      </w:r>
      <w:r w:rsidR="00406084" w:rsidRPr="00406084">
        <w:t xml:space="preserve"> do prowadzenia określonej działalności zawodowej, o ile wynika to z odrębnych przepisów:</w:t>
      </w:r>
    </w:p>
    <w:p w14:paraId="7560952E" w14:textId="77777777" w:rsidR="00406084" w:rsidRPr="00F379AD" w:rsidRDefault="00406084" w:rsidP="00F379AD">
      <w:r w:rsidRPr="00F379AD">
        <w:t>Zamawiający uzna warunek za spełniony, gdy Wykonawca wykaże, że posiada:</w:t>
      </w:r>
    </w:p>
    <w:p w14:paraId="1547ED57" w14:textId="77777777" w:rsidR="00406084" w:rsidRPr="00F379AD" w:rsidRDefault="00406084" w:rsidP="00B151E9">
      <w:pPr>
        <w:pStyle w:val="Akapitzlist"/>
        <w:numPr>
          <w:ilvl w:val="0"/>
          <w:numId w:val="38"/>
        </w:numPr>
        <w:rPr>
          <w:rFonts w:eastAsia="SimSun"/>
        </w:rPr>
      </w:pPr>
      <w:r w:rsidRPr="00F379AD">
        <w:rPr>
          <w:rFonts w:eastAsia="SimSun"/>
        </w:rPr>
        <w:t>aktualną koncesję na prowadzenie działalności gospodarczej w zakresie obrotu energią cieplnej lub w zakresie wytwarzania energii cieplnej wydaną przez Prezesa Urzędu Regulacji Energetyki, oraz</w:t>
      </w:r>
    </w:p>
    <w:p w14:paraId="0A78FFB5" w14:textId="77777777" w:rsidR="00426819" w:rsidRDefault="00406084" w:rsidP="00B151E9">
      <w:pPr>
        <w:pStyle w:val="Akapitzlist"/>
        <w:numPr>
          <w:ilvl w:val="0"/>
          <w:numId w:val="38"/>
        </w:numPr>
        <w:rPr>
          <w:rFonts w:eastAsia="SimSun"/>
        </w:rPr>
      </w:pPr>
      <w:r w:rsidRPr="00426819">
        <w:rPr>
          <w:rFonts w:eastAsia="SimSun"/>
        </w:rPr>
        <w:t>aktualną koncesję na prowadzenie działalności gospodarczej w zakresie dystrybucji energii cieplnej wydaną przez Prezesa Urzędu Regulacji Energetyki (w przypadku Wykonawców będących właścicielami sieci dystrybucyjnej)</w:t>
      </w:r>
      <w:r w:rsidR="00426819">
        <w:rPr>
          <w:rFonts w:eastAsia="SimSun"/>
        </w:rPr>
        <w:t xml:space="preserve"> </w:t>
      </w:r>
    </w:p>
    <w:p w14:paraId="69202755" w14:textId="59B83292" w:rsidR="00406084" w:rsidRPr="00B151E9" w:rsidRDefault="00406084" w:rsidP="00B151E9">
      <w:pPr>
        <w:ind w:left="1440"/>
      </w:pPr>
      <w:r w:rsidRPr="00B151E9">
        <w:t>lub</w:t>
      </w:r>
    </w:p>
    <w:p w14:paraId="1191D08F" w14:textId="77777777" w:rsidR="00406084" w:rsidRPr="00F379AD" w:rsidRDefault="00406084" w:rsidP="00B151E9">
      <w:pPr>
        <w:ind w:left="1440"/>
      </w:pPr>
      <w:r w:rsidRPr="00F379AD">
        <w:lastRenderedPageBreak/>
        <w:t>podpisaną umowę z Operatorem Systemu Dystrybucyjnego (dalej jako „OSD”) na świadczenie usług dystrybucyjnych energii cieplnej na obszarze, na którym znajduje się miejsce dostarczenia energii cieplnej (w przypadku Wykonawców nie będących właścicielami sieci dystrybucyjnej).</w:t>
      </w:r>
    </w:p>
    <w:p w14:paraId="3C87228C" w14:textId="125BF9AE" w:rsidR="008E7A13" w:rsidRPr="008E7A13" w:rsidRDefault="008E7A13" w:rsidP="008E7A13">
      <w:pPr>
        <w:pStyle w:val="Nagwek1"/>
      </w:pPr>
      <w:r w:rsidRPr="008E7A13">
        <w:t>Umowa</w:t>
      </w:r>
      <w:r w:rsidR="00D466E4">
        <w:t>:</w:t>
      </w:r>
    </w:p>
    <w:p w14:paraId="4BA59479" w14:textId="032FBAE1" w:rsidR="00F13573" w:rsidRPr="00520BB3" w:rsidRDefault="00F13573" w:rsidP="00B151E9">
      <w:pPr>
        <w:pStyle w:val="Akapitzlist"/>
        <w:numPr>
          <w:ilvl w:val="0"/>
          <w:numId w:val="42"/>
        </w:numPr>
        <w:rPr>
          <w:szCs w:val="20"/>
        </w:rPr>
      </w:pPr>
      <w:r>
        <w:t>Zamawiający potwierdza, że wyraża zgodę na zawarcie umowy na wzorze przedstawionym prz</w:t>
      </w:r>
      <w:r w:rsidR="00082566">
        <w:t>ez</w:t>
      </w:r>
      <w:r>
        <w:t xml:space="preserve"> Wykonawcę, uwzględniając</w:t>
      </w:r>
      <w:r w:rsidR="00082566">
        <w:t>ym</w:t>
      </w:r>
      <w:r>
        <w:t xml:space="preserve"> zapisy Istotnych Postanowień Umowy.</w:t>
      </w:r>
    </w:p>
    <w:p w14:paraId="5920E8FB" w14:textId="162C4AEC" w:rsidR="00520BB3" w:rsidRDefault="00520BB3" w:rsidP="00B151E9">
      <w:pPr>
        <w:pStyle w:val="Akapitzlist"/>
        <w:numPr>
          <w:ilvl w:val="0"/>
          <w:numId w:val="42"/>
        </w:numPr>
        <w:rPr>
          <w:szCs w:val="20"/>
        </w:rPr>
      </w:pPr>
      <w:r>
        <w:t xml:space="preserve">W przypadku kolizji Istotnych Postanowień Umowy z którymkolwiek postanowieniem umowy, pierwszeństwo mają i </w:t>
      </w:r>
      <w:proofErr w:type="spellStart"/>
      <w:r>
        <w:t>wiażące</w:t>
      </w:r>
      <w:proofErr w:type="spellEnd"/>
      <w:r>
        <w:t xml:space="preserve"> dla stron są Istotne Postanowienia Umowy.</w:t>
      </w:r>
    </w:p>
    <w:sectPr w:rsidR="00520BB3" w:rsidSect="006013C1">
      <w:footerReference w:type="default" r:id="rId8"/>
      <w:headerReference w:type="first" r:id="rId9"/>
      <w:footerReference w:type="first" r:id="rId10"/>
      <w:pgSz w:w="11906" w:h="16838"/>
      <w:pgMar w:top="1276" w:right="612" w:bottom="1531" w:left="2268" w:header="709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29D4" w14:textId="77777777" w:rsidR="005B48C4" w:rsidRDefault="005B48C4" w:rsidP="00BA4D30">
      <w:r>
        <w:separator/>
      </w:r>
    </w:p>
  </w:endnote>
  <w:endnote w:type="continuationSeparator" w:id="0">
    <w:p w14:paraId="6A7FF0B7" w14:textId="77777777" w:rsidR="005B48C4" w:rsidRDefault="005B48C4" w:rsidP="00BA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356472"/>
      <w:docPartObj>
        <w:docPartGallery w:val="Page Numbers (Bottom of Page)"/>
        <w:docPartUnique/>
      </w:docPartObj>
    </w:sdtPr>
    <w:sdtEndPr/>
    <w:sdtContent>
      <w:p w14:paraId="18AA77F8" w14:textId="77777777" w:rsidR="003B7496" w:rsidRDefault="003B74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C91EF0" w14:textId="77777777" w:rsidR="005B48C4" w:rsidRDefault="005B48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697532"/>
      <w:docPartObj>
        <w:docPartGallery w:val="Page Numbers (Bottom of Page)"/>
        <w:docPartUnique/>
      </w:docPartObj>
    </w:sdtPr>
    <w:sdtEndPr/>
    <w:sdtContent>
      <w:p w14:paraId="4B2ADBA2" w14:textId="77777777" w:rsidR="003B7496" w:rsidRDefault="003B74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38A9D9" w14:textId="77777777" w:rsidR="005B48C4" w:rsidRDefault="005B48C4" w:rsidP="00A23FFD">
    <w:pPr>
      <w:pStyle w:val="Stopka"/>
      <w:tabs>
        <w:tab w:val="left" w:pos="0"/>
      </w:tabs>
      <w:ind w:left="-21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A98F" w14:textId="77777777" w:rsidR="005B48C4" w:rsidRDefault="005B48C4" w:rsidP="00BA4D30">
      <w:r>
        <w:separator/>
      </w:r>
    </w:p>
  </w:footnote>
  <w:footnote w:type="continuationSeparator" w:id="0">
    <w:p w14:paraId="198A272D" w14:textId="77777777" w:rsidR="005B48C4" w:rsidRDefault="005B48C4" w:rsidP="00BA4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A38" w14:textId="77777777" w:rsidR="005B48C4" w:rsidRDefault="005B48C4" w:rsidP="004536F5">
    <w:pPr>
      <w:keepNext/>
      <w:framePr w:hSpace="141" w:wrap="around" w:vAnchor="text" w:hAnchor="margin" w:y="109"/>
      <w:jc w:val="center"/>
      <w:outlineLvl w:val="0"/>
      <w:rPr>
        <w:rFonts w:ascii="Open Sans" w:hAnsi="Open Sans" w:cs="Open Sans"/>
        <w:sz w:val="17"/>
        <w:szCs w:val="21"/>
      </w:rPr>
    </w:pPr>
  </w:p>
  <w:p w14:paraId="7BF967AF" w14:textId="7664D896" w:rsidR="005B48C4" w:rsidRDefault="005B48C4" w:rsidP="004536F5">
    <w:pPr>
      <w:pStyle w:val="Nagwek"/>
      <w:ind w:left="-1560"/>
      <w:jc w:val="right"/>
      <w:rPr>
        <w:rFonts w:ascii="Open Sans" w:hAnsi="Open Sans" w:cs="Open Sans"/>
        <w:sz w:val="17"/>
      </w:rPr>
    </w:pPr>
    <w:r>
      <w:rPr>
        <w:rFonts w:ascii="Open Sans" w:hAnsi="Open Sans" w:cs="Open Sans"/>
        <w:noProof/>
        <w:sz w:val="17"/>
      </w:rPr>
      <w:drawing>
        <wp:anchor distT="0" distB="0" distL="114300" distR="114300" simplePos="0" relativeHeight="251659264" behindDoc="1" locked="0" layoutInCell="1" allowOverlap="1" wp14:anchorId="182D823F" wp14:editId="2D102371">
          <wp:simplePos x="0" y="0"/>
          <wp:positionH relativeFrom="margin">
            <wp:posOffset>-1363980</wp:posOffset>
          </wp:positionH>
          <wp:positionV relativeFrom="margin">
            <wp:posOffset>-762635</wp:posOffset>
          </wp:positionV>
          <wp:extent cx="6673215" cy="1411605"/>
          <wp:effectExtent l="0" t="0" r="0" b="0"/>
          <wp:wrapNone/>
          <wp:docPr id="5" name="Obraz 5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0" t="12822" r="10835"/>
                  <a:stretch>
                    <a:fillRect/>
                  </a:stretch>
                </pic:blipFill>
                <pic:spPr bwMode="auto">
                  <a:xfrm>
                    <a:off x="0" y="0"/>
                    <a:ext cx="6673215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sz w:val="17"/>
      </w:rPr>
      <w:tab/>
    </w:r>
    <w:r>
      <w:rPr>
        <w:rFonts w:ascii="Open Sans" w:hAnsi="Open Sans" w:cs="Open Sans"/>
        <w:sz w:val="17"/>
      </w:rPr>
      <w:tab/>
      <w:t xml:space="preserve">Załącznik nr </w:t>
    </w:r>
    <w:r w:rsidR="00B03A7A">
      <w:rPr>
        <w:rFonts w:ascii="Open Sans" w:hAnsi="Open Sans" w:cs="Open Sans"/>
        <w:sz w:val="17"/>
      </w:rPr>
      <w:t xml:space="preserve"> </w:t>
    </w:r>
    <w:r w:rsidR="00BA07FC">
      <w:rPr>
        <w:rFonts w:ascii="Open Sans" w:hAnsi="Open Sans" w:cs="Open Sans"/>
        <w:sz w:val="17"/>
      </w:rPr>
      <w:t>1</w:t>
    </w:r>
    <w:r>
      <w:rPr>
        <w:rFonts w:ascii="Open Sans" w:hAnsi="Open Sans" w:cs="Open Sans"/>
        <w:sz w:val="17"/>
      </w:rPr>
      <w:t xml:space="preserve"> do SWZ</w:t>
    </w:r>
  </w:p>
  <w:p w14:paraId="2A0B9E42" w14:textId="26C9DCB7" w:rsidR="005B48C4" w:rsidRDefault="005B48C4" w:rsidP="004536F5">
    <w:pPr>
      <w:pStyle w:val="Nagwek"/>
      <w:ind w:left="-1560"/>
      <w:jc w:val="right"/>
    </w:pPr>
    <w:r>
      <w:rPr>
        <w:rFonts w:ascii="Open Sans" w:hAnsi="Open Sans" w:cs="Open Sans"/>
        <w:sz w:val="17"/>
      </w:rPr>
      <w:tab/>
    </w:r>
    <w:r>
      <w:rPr>
        <w:rFonts w:ascii="Open Sans" w:hAnsi="Open Sans" w:cs="Open Sans"/>
        <w:sz w:val="17"/>
      </w:rPr>
      <w:tab/>
      <w:t>Nr sprawy:</w:t>
    </w:r>
    <w:r w:rsidR="00BA07FC">
      <w:rPr>
        <w:rFonts w:ascii="Open Sans" w:hAnsi="Open Sans" w:cs="Open Sans"/>
        <w:sz w:val="17"/>
      </w:rPr>
      <w:t xml:space="preserve"> </w:t>
    </w:r>
    <w:r w:rsidR="00547666">
      <w:rPr>
        <w:rFonts w:ascii="Open Sans" w:hAnsi="Open Sans" w:cs="Open Sans"/>
        <w:sz w:val="17"/>
      </w:rPr>
      <w:t>131/TP/2021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07B"/>
    <w:multiLevelType w:val="hybridMultilevel"/>
    <w:tmpl w:val="03B214F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4770BD"/>
    <w:multiLevelType w:val="hybridMultilevel"/>
    <w:tmpl w:val="A76AFC76"/>
    <w:lvl w:ilvl="0" w:tplc="6CAA3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906"/>
    <w:multiLevelType w:val="hybridMultilevel"/>
    <w:tmpl w:val="820C9D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423062"/>
    <w:multiLevelType w:val="hybridMultilevel"/>
    <w:tmpl w:val="9C722D90"/>
    <w:lvl w:ilvl="0" w:tplc="BBDC68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40051"/>
    <w:multiLevelType w:val="hybridMultilevel"/>
    <w:tmpl w:val="E1BEF98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C742A5"/>
    <w:multiLevelType w:val="hybridMultilevel"/>
    <w:tmpl w:val="A2DC5980"/>
    <w:lvl w:ilvl="0" w:tplc="14D0B1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038D5"/>
    <w:multiLevelType w:val="hybridMultilevel"/>
    <w:tmpl w:val="0B784714"/>
    <w:lvl w:ilvl="0" w:tplc="5DDC25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B421A"/>
    <w:multiLevelType w:val="hybridMultilevel"/>
    <w:tmpl w:val="B738898E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27983270"/>
    <w:multiLevelType w:val="hybridMultilevel"/>
    <w:tmpl w:val="3C32D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B178A"/>
    <w:multiLevelType w:val="hybridMultilevel"/>
    <w:tmpl w:val="6732694E"/>
    <w:lvl w:ilvl="0" w:tplc="5ED6D5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0E55E0"/>
    <w:multiLevelType w:val="hybridMultilevel"/>
    <w:tmpl w:val="71C287DE"/>
    <w:lvl w:ilvl="0" w:tplc="E26622F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27BB8"/>
    <w:multiLevelType w:val="multilevel"/>
    <w:tmpl w:val="3D66C51E"/>
    <w:lvl w:ilvl="0">
      <w:start w:val="1"/>
      <w:numFmt w:val="decimal"/>
      <w:lvlText w:val="%1."/>
      <w:lvlJc w:val="left"/>
      <w:rPr>
        <w:rFonts w:ascii="Open Sans Semibold" w:hAnsi="Open Sans Semibold" w:hint="default"/>
        <w:lang w:val="pl-PL"/>
      </w:rPr>
    </w:lvl>
    <w:lvl w:ilvl="1">
      <w:start w:val="1"/>
      <w:numFmt w:val="upperRoman"/>
      <w:lvlText w:val="%2."/>
      <w:lvlJc w:val="righ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12" w15:restartNumberingAfterBreak="0">
    <w:nsid w:val="38A418A4"/>
    <w:multiLevelType w:val="hybridMultilevel"/>
    <w:tmpl w:val="49AC9E3E"/>
    <w:lvl w:ilvl="0" w:tplc="753C146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967F1"/>
    <w:multiLevelType w:val="hybridMultilevel"/>
    <w:tmpl w:val="B42233C8"/>
    <w:lvl w:ilvl="0" w:tplc="0BB6C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773BF"/>
    <w:multiLevelType w:val="hybridMultilevel"/>
    <w:tmpl w:val="886AD2A8"/>
    <w:lvl w:ilvl="0" w:tplc="643E01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E6CE5"/>
    <w:multiLevelType w:val="hybridMultilevel"/>
    <w:tmpl w:val="ADB44156"/>
    <w:lvl w:ilvl="0" w:tplc="15DE49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86A49"/>
    <w:multiLevelType w:val="hybridMultilevel"/>
    <w:tmpl w:val="65F4CF2C"/>
    <w:lvl w:ilvl="0" w:tplc="C61A56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3351F"/>
    <w:multiLevelType w:val="hybridMultilevel"/>
    <w:tmpl w:val="4B3210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AA4446"/>
    <w:multiLevelType w:val="hybridMultilevel"/>
    <w:tmpl w:val="09A6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84AC5"/>
    <w:multiLevelType w:val="hybridMultilevel"/>
    <w:tmpl w:val="46885AA2"/>
    <w:lvl w:ilvl="0" w:tplc="A26CA8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A4195"/>
    <w:multiLevelType w:val="hybridMultilevel"/>
    <w:tmpl w:val="83CEE182"/>
    <w:lvl w:ilvl="0" w:tplc="5B229B7E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55D5C"/>
    <w:multiLevelType w:val="hybridMultilevel"/>
    <w:tmpl w:val="AC027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2B1F7D"/>
    <w:multiLevelType w:val="hybridMultilevel"/>
    <w:tmpl w:val="7F4CEE18"/>
    <w:lvl w:ilvl="0" w:tplc="E51E3A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9469E"/>
    <w:multiLevelType w:val="hybridMultilevel"/>
    <w:tmpl w:val="C832AA28"/>
    <w:lvl w:ilvl="0" w:tplc="171A8E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B192F"/>
    <w:multiLevelType w:val="hybridMultilevel"/>
    <w:tmpl w:val="820C9D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181D1F"/>
    <w:multiLevelType w:val="hybridMultilevel"/>
    <w:tmpl w:val="358C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E0965"/>
    <w:multiLevelType w:val="hybridMultilevel"/>
    <w:tmpl w:val="7408E9CA"/>
    <w:lvl w:ilvl="0" w:tplc="8D522B8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6793A"/>
    <w:multiLevelType w:val="hybridMultilevel"/>
    <w:tmpl w:val="FCAAA0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E1124"/>
    <w:multiLevelType w:val="multilevel"/>
    <w:tmpl w:val="ACE8D286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37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5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31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-25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-181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-464" w:hanging="1800"/>
      </w:pPr>
      <w:rPr>
        <w:rFonts w:eastAsia="Times New Roman" w:hint="default"/>
        <w:b/>
      </w:rPr>
    </w:lvl>
  </w:abstractNum>
  <w:abstractNum w:abstractNumId="29" w15:restartNumberingAfterBreak="0">
    <w:nsid w:val="7AD46BF3"/>
    <w:multiLevelType w:val="hybridMultilevel"/>
    <w:tmpl w:val="5E7AF0C8"/>
    <w:lvl w:ilvl="0" w:tplc="04150011">
      <w:start w:val="1"/>
      <w:numFmt w:val="decimal"/>
      <w:pStyle w:val="Akapitzlist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7F31D0"/>
    <w:multiLevelType w:val="hybridMultilevel"/>
    <w:tmpl w:val="799A8CBC"/>
    <w:lvl w:ilvl="0" w:tplc="B28E83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5"/>
  </w:num>
  <w:num w:numId="4">
    <w:abstractNumId w:val="5"/>
  </w:num>
  <w:num w:numId="5">
    <w:abstractNumId w:val="30"/>
  </w:num>
  <w:num w:numId="6">
    <w:abstractNumId w:val="21"/>
  </w:num>
  <w:num w:numId="7">
    <w:abstractNumId w:val="13"/>
  </w:num>
  <w:num w:numId="8">
    <w:abstractNumId w:val="14"/>
  </w:num>
  <w:num w:numId="9">
    <w:abstractNumId w:val="6"/>
  </w:num>
  <w:num w:numId="10">
    <w:abstractNumId w:val="23"/>
  </w:num>
  <w:num w:numId="11">
    <w:abstractNumId w:val="22"/>
  </w:num>
  <w:num w:numId="12">
    <w:abstractNumId w:val="19"/>
  </w:num>
  <w:num w:numId="13">
    <w:abstractNumId w:val="15"/>
  </w:num>
  <w:num w:numId="14">
    <w:abstractNumId w:val="1"/>
  </w:num>
  <w:num w:numId="15">
    <w:abstractNumId w:val="3"/>
  </w:num>
  <w:num w:numId="16">
    <w:abstractNumId w:val="16"/>
  </w:num>
  <w:num w:numId="17">
    <w:abstractNumId w:val="4"/>
  </w:num>
  <w:num w:numId="18">
    <w:abstractNumId w:val="8"/>
  </w:num>
  <w:num w:numId="19">
    <w:abstractNumId w:val="20"/>
  </w:num>
  <w:num w:numId="20">
    <w:abstractNumId w:val="7"/>
  </w:num>
  <w:num w:numId="21">
    <w:abstractNumId w:val="17"/>
  </w:num>
  <w:num w:numId="22">
    <w:abstractNumId w:val="27"/>
  </w:num>
  <w:num w:numId="23">
    <w:abstractNumId w:val="26"/>
  </w:num>
  <w:num w:numId="24">
    <w:abstractNumId w:val="9"/>
  </w:num>
  <w:num w:numId="25">
    <w:abstractNumId w:val="9"/>
    <w:lvlOverride w:ilvl="0">
      <w:lvl w:ilvl="0" w:tplc="5ED6D5B8">
        <w:start w:val="1"/>
        <w:numFmt w:val="lowerLetter"/>
        <w:lvlText w:val="%1."/>
        <w:lvlJc w:val="left"/>
        <w:pPr>
          <w:ind w:left="21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9"/>
  </w:num>
  <w:num w:numId="27">
    <w:abstractNumId w:val="29"/>
  </w:num>
  <w:num w:numId="28">
    <w:abstractNumId w:val="29"/>
  </w:num>
  <w:num w:numId="29">
    <w:abstractNumId w:val="29"/>
    <w:lvlOverride w:ilvl="0">
      <w:startOverride w:val="1"/>
    </w:lvlOverride>
  </w:num>
  <w:num w:numId="30">
    <w:abstractNumId w:val="29"/>
  </w:num>
  <w:num w:numId="31">
    <w:abstractNumId w:val="29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18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6"/>
  </w:num>
  <w:num w:numId="38">
    <w:abstractNumId w:val="24"/>
  </w:num>
  <w:num w:numId="39">
    <w:abstractNumId w:val="29"/>
  </w:num>
  <w:num w:numId="40">
    <w:abstractNumId w:val="26"/>
  </w:num>
  <w:num w:numId="41">
    <w:abstractNumId w:val="29"/>
  </w:num>
  <w:num w:numId="42">
    <w:abstractNumId w:val="2"/>
  </w:num>
  <w:num w:numId="43">
    <w:abstractNumId w:val="29"/>
  </w:num>
  <w:num w:numId="44">
    <w:abstractNumId w:val="29"/>
  </w:num>
  <w:num w:numId="45">
    <w:abstractNumId w:val="29"/>
  </w:num>
  <w:num w:numId="46">
    <w:abstractNumId w:val="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44"/>
    <w:rsid w:val="00000734"/>
    <w:rsid w:val="00001792"/>
    <w:rsid w:val="00003CB9"/>
    <w:rsid w:val="00007F56"/>
    <w:rsid w:val="00013467"/>
    <w:rsid w:val="00013F8C"/>
    <w:rsid w:val="00014AED"/>
    <w:rsid w:val="00016E75"/>
    <w:rsid w:val="00020BF6"/>
    <w:rsid w:val="00023E71"/>
    <w:rsid w:val="00024C45"/>
    <w:rsid w:val="00041FDD"/>
    <w:rsid w:val="000512DC"/>
    <w:rsid w:val="00057F26"/>
    <w:rsid w:val="00060439"/>
    <w:rsid w:val="0006211D"/>
    <w:rsid w:val="000645B9"/>
    <w:rsid w:val="00072C5A"/>
    <w:rsid w:val="00082566"/>
    <w:rsid w:val="000834C7"/>
    <w:rsid w:val="00087FC3"/>
    <w:rsid w:val="00093C47"/>
    <w:rsid w:val="000951D9"/>
    <w:rsid w:val="000A09C9"/>
    <w:rsid w:val="000B1741"/>
    <w:rsid w:val="000B3BFC"/>
    <w:rsid w:val="000C605D"/>
    <w:rsid w:val="000C6E0E"/>
    <w:rsid w:val="000C7A78"/>
    <w:rsid w:val="000E082B"/>
    <w:rsid w:val="000E0A7F"/>
    <w:rsid w:val="000E1E75"/>
    <w:rsid w:val="000F3BA8"/>
    <w:rsid w:val="000F4B5A"/>
    <w:rsid w:val="000F687A"/>
    <w:rsid w:val="0011176A"/>
    <w:rsid w:val="001136CE"/>
    <w:rsid w:val="00114ED6"/>
    <w:rsid w:val="00116278"/>
    <w:rsid w:val="00116BA4"/>
    <w:rsid w:val="00122135"/>
    <w:rsid w:val="00125163"/>
    <w:rsid w:val="00127D6B"/>
    <w:rsid w:val="00134892"/>
    <w:rsid w:val="00141A6A"/>
    <w:rsid w:val="0014567B"/>
    <w:rsid w:val="00145CDD"/>
    <w:rsid w:val="00147F70"/>
    <w:rsid w:val="001506FA"/>
    <w:rsid w:val="0016320F"/>
    <w:rsid w:val="00163A7E"/>
    <w:rsid w:val="001646E1"/>
    <w:rsid w:val="00164DC6"/>
    <w:rsid w:val="00176E42"/>
    <w:rsid w:val="00182970"/>
    <w:rsid w:val="001900E1"/>
    <w:rsid w:val="00196BE8"/>
    <w:rsid w:val="001B0864"/>
    <w:rsid w:val="001B326D"/>
    <w:rsid w:val="001B4BA2"/>
    <w:rsid w:val="001C06F1"/>
    <w:rsid w:val="001C0FDA"/>
    <w:rsid w:val="001C1EB2"/>
    <w:rsid w:val="001C2402"/>
    <w:rsid w:val="001C55B9"/>
    <w:rsid w:val="001C722A"/>
    <w:rsid w:val="001E2BDD"/>
    <w:rsid w:val="001F7E82"/>
    <w:rsid w:val="002158CD"/>
    <w:rsid w:val="00216009"/>
    <w:rsid w:val="00217906"/>
    <w:rsid w:val="00220A7D"/>
    <w:rsid w:val="002255C9"/>
    <w:rsid w:val="00232A64"/>
    <w:rsid w:val="00244524"/>
    <w:rsid w:val="002512DA"/>
    <w:rsid w:val="002527E8"/>
    <w:rsid w:val="002561F2"/>
    <w:rsid w:val="00260555"/>
    <w:rsid w:val="0026112E"/>
    <w:rsid w:val="002614DF"/>
    <w:rsid w:val="00263F4F"/>
    <w:rsid w:val="002646CD"/>
    <w:rsid w:val="00271B54"/>
    <w:rsid w:val="00277613"/>
    <w:rsid w:val="002860EF"/>
    <w:rsid w:val="00287000"/>
    <w:rsid w:val="002A53C0"/>
    <w:rsid w:val="002C3218"/>
    <w:rsid w:val="002D301B"/>
    <w:rsid w:val="002D3344"/>
    <w:rsid w:val="002E704D"/>
    <w:rsid w:val="002E7244"/>
    <w:rsid w:val="002F19CA"/>
    <w:rsid w:val="002F3206"/>
    <w:rsid w:val="00303771"/>
    <w:rsid w:val="00305664"/>
    <w:rsid w:val="00321500"/>
    <w:rsid w:val="0032271B"/>
    <w:rsid w:val="00337FF9"/>
    <w:rsid w:val="00341D07"/>
    <w:rsid w:val="003429CB"/>
    <w:rsid w:val="003432CE"/>
    <w:rsid w:val="0034587D"/>
    <w:rsid w:val="00345E9A"/>
    <w:rsid w:val="003727B1"/>
    <w:rsid w:val="00375865"/>
    <w:rsid w:val="00376D52"/>
    <w:rsid w:val="00385E7A"/>
    <w:rsid w:val="00386826"/>
    <w:rsid w:val="003A4233"/>
    <w:rsid w:val="003B7496"/>
    <w:rsid w:val="003C25E8"/>
    <w:rsid w:val="003C67A5"/>
    <w:rsid w:val="003D0E1E"/>
    <w:rsid w:val="003D2493"/>
    <w:rsid w:val="003D4456"/>
    <w:rsid w:val="003D4FB1"/>
    <w:rsid w:val="003E0C60"/>
    <w:rsid w:val="003F131E"/>
    <w:rsid w:val="00406084"/>
    <w:rsid w:val="00406AE6"/>
    <w:rsid w:val="00413D5F"/>
    <w:rsid w:val="004261A5"/>
    <w:rsid w:val="00426819"/>
    <w:rsid w:val="00426B25"/>
    <w:rsid w:val="004313ED"/>
    <w:rsid w:val="00431DD3"/>
    <w:rsid w:val="00433743"/>
    <w:rsid w:val="00437C91"/>
    <w:rsid w:val="00440516"/>
    <w:rsid w:val="00442B59"/>
    <w:rsid w:val="004536F5"/>
    <w:rsid w:val="00454CC1"/>
    <w:rsid w:val="004567EF"/>
    <w:rsid w:val="004625D2"/>
    <w:rsid w:val="004702A7"/>
    <w:rsid w:val="00470E7F"/>
    <w:rsid w:val="00472DE5"/>
    <w:rsid w:val="00472EDB"/>
    <w:rsid w:val="004940B8"/>
    <w:rsid w:val="00494EB6"/>
    <w:rsid w:val="0049627C"/>
    <w:rsid w:val="004A3D77"/>
    <w:rsid w:val="004A400F"/>
    <w:rsid w:val="004A59A4"/>
    <w:rsid w:val="004A70CD"/>
    <w:rsid w:val="004C1766"/>
    <w:rsid w:val="004C4847"/>
    <w:rsid w:val="004D1B7B"/>
    <w:rsid w:val="004D4E85"/>
    <w:rsid w:val="004E0031"/>
    <w:rsid w:val="004E2DD9"/>
    <w:rsid w:val="004F1BDA"/>
    <w:rsid w:val="004F4EAE"/>
    <w:rsid w:val="004F67EC"/>
    <w:rsid w:val="005104EA"/>
    <w:rsid w:val="00520BB3"/>
    <w:rsid w:val="00523C0C"/>
    <w:rsid w:val="00524CB7"/>
    <w:rsid w:val="005302DE"/>
    <w:rsid w:val="00543C01"/>
    <w:rsid w:val="00545E4C"/>
    <w:rsid w:val="00547666"/>
    <w:rsid w:val="005505F7"/>
    <w:rsid w:val="005543F6"/>
    <w:rsid w:val="00565279"/>
    <w:rsid w:val="00567F08"/>
    <w:rsid w:val="00570EF4"/>
    <w:rsid w:val="00575890"/>
    <w:rsid w:val="0058755F"/>
    <w:rsid w:val="00597854"/>
    <w:rsid w:val="005A055C"/>
    <w:rsid w:val="005A0637"/>
    <w:rsid w:val="005B48C4"/>
    <w:rsid w:val="005C17B1"/>
    <w:rsid w:val="005C23E8"/>
    <w:rsid w:val="005C4FF4"/>
    <w:rsid w:val="005C6950"/>
    <w:rsid w:val="005D08AD"/>
    <w:rsid w:val="005D4874"/>
    <w:rsid w:val="005E4D72"/>
    <w:rsid w:val="005E735A"/>
    <w:rsid w:val="005E7813"/>
    <w:rsid w:val="00600B5B"/>
    <w:rsid w:val="006013C1"/>
    <w:rsid w:val="0060562B"/>
    <w:rsid w:val="006122D7"/>
    <w:rsid w:val="00616D6F"/>
    <w:rsid w:val="0064529D"/>
    <w:rsid w:val="00655493"/>
    <w:rsid w:val="00657199"/>
    <w:rsid w:val="006724EF"/>
    <w:rsid w:val="00681899"/>
    <w:rsid w:val="00683743"/>
    <w:rsid w:val="0069276D"/>
    <w:rsid w:val="006A360D"/>
    <w:rsid w:val="006D5E2A"/>
    <w:rsid w:val="006E219A"/>
    <w:rsid w:val="006E29EB"/>
    <w:rsid w:val="006E36FA"/>
    <w:rsid w:val="006E3A39"/>
    <w:rsid w:val="006F47EE"/>
    <w:rsid w:val="006F643D"/>
    <w:rsid w:val="007047C2"/>
    <w:rsid w:val="00713CC2"/>
    <w:rsid w:val="00722434"/>
    <w:rsid w:val="00722F5A"/>
    <w:rsid w:val="00733123"/>
    <w:rsid w:val="007348C1"/>
    <w:rsid w:val="00742CEB"/>
    <w:rsid w:val="0074776A"/>
    <w:rsid w:val="00750390"/>
    <w:rsid w:val="00757510"/>
    <w:rsid w:val="007648DC"/>
    <w:rsid w:val="007656F1"/>
    <w:rsid w:val="00767AAF"/>
    <w:rsid w:val="00772775"/>
    <w:rsid w:val="00773FA3"/>
    <w:rsid w:val="00774817"/>
    <w:rsid w:val="00777E46"/>
    <w:rsid w:val="0078019D"/>
    <w:rsid w:val="007810C2"/>
    <w:rsid w:val="00781DA3"/>
    <w:rsid w:val="00785945"/>
    <w:rsid w:val="007967B0"/>
    <w:rsid w:val="007A0119"/>
    <w:rsid w:val="007A5B73"/>
    <w:rsid w:val="007A7976"/>
    <w:rsid w:val="007B7356"/>
    <w:rsid w:val="007C2124"/>
    <w:rsid w:val="007C4336"/>
    <w:rsid w:val="007C66D7"/>
    <w:rsid w:val="007D5DD3"/>
    <w:rsid w:val="007D65F0"/>
    <w:rsid w:val="007E0016"/>
    <w:rsid w:val="007E272F"/>
    <w:rsid w:val="007E4F0E"/>
    <w:rsid w:val="007F2497"/>
    <w:rsid w:val="007F40ED"/>
    <w:rsid w:val="00805FD3"/>
    <w:rsid w:val="0082012B"/>
    <w:rsid w:val="00820C58"/>
    <w:rsid w:val="00823DB8"/>
    <w:rsid w:val="00843AAA"/>
    <w:rsid w:val="00847EC9"/>
    <w:rsid w:val="008536DE"/>
    <w:rsid w:val="00860275"/>
    <w:rsid w:val="008605E2"/>
    <w:rsid w:val="008623F8"/>
    <w:rsid w:val="00865989"/>
    <w:rsid w:val="00867B63"/>
    <w:rsid w:val="00877254"/>
    <w:rsid w:val="008D46BC"/>
    <w:rsid w:val="008D580E"/>
    <w:rsid w:val="008D6498"/>
    <w:rsid w:val="008E1044"/>
    <w:rsid w:val="008E1B11"/>
    <w:rsid w:val="008E4BF2"/>
    <w:rsid w:val="008E5C6D"/>
    <w:rsid w:val="008E7A13"/>
    <w:rsid w:val="009050D0"/>
    <w:rsid w:val="00905D49"/>
    <w:rsid w:val="00906C34"/>
    <w:rsid w:val="00922394"/>
    <w:rsid w:val="00922623"/>
    <w:rsid w:val="00925C5C"/>
    <w:rsid w:val="00927001"/>
    <w:rsid w:val="00941F31"/>
    <w:rsid w:val="00945BDF"/>
    <w:rsid w:val="00951ADD"/>
    <w:rsid w:val="00952467"/>
    <w:rsid w:val="009537FA"/>
    <w:rsid w:val="00956694"/>
    <w:rsid w:val="0095693B"/>
    <w:rsid w:val="00961785"/>
    <w:rsid w:val="009674B0"/>
    <w:rsid w:val="0098563A"/>
    <w:rsid w:val="00994732"/>
    <w:rsid w:val="009958DE"/>
    <w:rsid w:val="00995D20"/>
    <w:rsid w:val="009B19B0"/>
    <w:rsid w:val="009B4B13"/>
    <w:rsid w:val="009B6577"/>
    <w:rsid w:val="009C0569"/>
    <w:rsid w:val="009C10DA"/>
    <w:rsid w:val="009C359D"/>
    <w:rsid w:val="009C50A2"/>
    <w:rsid w:val="009C55ED"/>
    <w:rsid w:val="009D29C7"/>
    <w:rsid w:val="009D470A"/>
    <w:rsid w:val="009D7F03"/>
    <w:rsid w:val="009E208D"/>
    <w:rsid w:val="009E71BA"/>
    <w:rsid w:val="009F57A0"/>
    <w:rsid w:val="009F67D1"/>
    <w:rsid w:val="009F797C"/>
    <w:rsid w:val="00A02F52"/>
    <w:rsid w:val="00A06EA3"/>
    <w:rsid w:val="00A0704D"/>
    <w:rsid w:val="00A10FAA"/>
    <w:rsid w:val="00A10FFE"/>
    <w:rsid w:val="00A2094D"/>
    <w:rsid w:val="00A23FFD"/>
    <w:rsid w:val="00A2507D"/>
    <w:rsid w:val="00A338B3"/>
    <w:rsid w:val="00A43183"/>
    <w:rsid w:val="00A47F42"/>
    <w:rsid w:val="00A5196B"/>
    <w:rsid w:val="00A553D0"/>
    <w:rsid w:val="00A61AEC"/>
    <w:rsid w:val="00A83297"/>
    <w:rsid w:val="00A86158"/>
    <w:rsid w:val="00A9105F"/>
    <w:rsid w:val="00A93CCA"/>
    <w:rsid w:val="00AA4982"/>
    <w:rsid w:val="00AA54A8"/>
    <w:rsid w:val="00AA5F32"/>
    <w:rsid w:val="00AB6060"/>
    <w:rsid w:val="00AC0CAC"/>
    <w:rsid w:val="00AC49E8"/>
    <w:rsid w:val="00AD4620"/>
    <w:rsid w:val="00AE0484"/>
    <w:rsid w:val="00AE33B9"/>
    <w:rsid w:val="00AE75B0"/>
    <w:rsid w:val="00B02A2C"/>
    <w:rsid w:val="00B03A7A"/>
    <w:rsid w:val="00B076E2"/>
    <w:rsid w:val="00B11ADE"/>
    <w:rsid w:val="00B1487F"/>
    <w:rsid w:val="00B14C1C"/>
    <w:rsid w:val="00B151E9"/>
    <w:rsid w:val="00B22517"/>
    <w:rsid w:val="00B32AD7"/>
    <w:rsid w:val="00B336BF"/>
    <w:rsid w:val="00B33E20"/>
    <w:rsid w:val="00B35605"/>
    <w:rsid w:val="00B437BF"/>
    <w:rsid w:val="00B65260"/>
    <w:rsid w:val="00B66E23"/>
    <w:rsid w:val="00B75F6D"/>
    <w:rsid w:val="00B929B7"/>
    <w:rsid w:val="00B959DD"/>
    <w:rsid w:val="00B9713D"/>
    <w:rsid w:val="00BA07FC"/>
    <w:rsid w:val="00BA4D30"/>
    <w:rsid w:val="00BA6E22"/>
    <w:rsid w:val="00BC5A15"/>
    <w:rsid w:val="00BC6FCE"/>
    <w:rsid w:val="00BD577F"/>
    <w:rsid w:val="00BF4A84"/>
    <w:rsid w:val="00BF563F"/>
    <w:rsid w:val="00C00CF9"/>
    <w:rsid w:val="00C02530"/>
    <w:rsid w:val="00C3208D"/>
    <w:rsid w:val="00C344EC"/>
    <w:rsid w:val="00C3611E"/>
    <w:rsid w:val="00C4689F"/>
    <w:rsid w:val="00C52C67"/>
    <w:rsid w:val="00C55A5E"/>
    <w:rsid w:val="00C56D30"/>
    <w:rsid w:val="00C57DC1"/>
    <w:rsid w:val="00C60ACC"/>
    <w:rsid w:val="00C646B6"/>
    <w:rsid w:val="00C8058A"/>
    <w:rsid w:val="00C96E8E"/>
    <w:rsid w:val="00C97806"/>
    <w:rsid w:val="00CA1C54"/>
    <w:rsid w:val="00CA52F6"/>
    <w:rsid w:val="00CB2151"/>
    <w:rsid w:val="00CC7299"/>
    <w:rsid w:val="00CD46B3"/>
    <w:rsid w:val="00CD76FC"/>
    <w:rsid w:val="00CE2468"/>
    <w:rsid w:val="00D039C9"/>
    <w:rsid w:val="00D104DB"/>
    <w:rsid w:val="00D10B47"/>
    <w:rsid w:val="00D133E0"/>
    <w:rsid w:val="00D13ECE"/>
    <w:rsid w:val="00D16DDF"/>
    <w:rsid w:val="00D201B8"/>
    <w:rsid w:val="00D207E9"/>
    <w:rsid w:val="00D21F2A"/>
    <w:rsid w:val="00D466E4"/>
    <w:rsid w:val="00D5218B"/>
    <w:rsid w:val="00D6657A"/>
    <w:rsid w:val="00D802DC"/>
    <w:rsid w:val="00D916EC"/>
    <w:rsid w:val="00D92535"/>
    <w:rsid w:val="00D946DB"/>
    <w:rsid w:val="00DA1AC7"/>
    <w:rsid w:val="00DB4742"/>
    <w:rsid w:val="00DB6620"/>
    <w:rsid w:val="00DB78DC"/>
    <w:rsid w:val="00DB7F53"/>
    <w:rsid w:val="00DC35B5"/>
    <w:rsid w:val="00DD6130"/>
    <w:rsid w:val="00E01AE8"/>
    <w:rsid w:val="00E030E8"/>
    <w:rsid w:val="00E10587"/>
    <w:rsid w:val="00E1588B"/>
    <w:rsid w:val="00E3394A"/>
    <w:rsid w:val="00E4157C"/>
    <w:rsid w:val="00E607A2"/>
    <w:rsid w:val="00E77A45"/>
    <w:rsid w:val="00EB70E0"/>
    <w:rsid w:val="00EB7286"/>
    <w:rsid w:val="00ED24E1"/>
    <w:rsid w:val="00ED2ABA"/>
    <w:rsid w:val="00EF1B20"/>
    <w:rsid w:val="00EF3DA6"/>
    <w:rsid w:val="00F01CF7"/>
    <w:rsid w:val="00F13573"/>
    <w:rsid w:val="00F159C7"/>
    <w:rsid w:val="00F171AC"/>
    <w:rsid w:val="00F216C5"/>
    <w:rsid w:val="00F26B1B"/>
    <w:rsid w:val="00F26C86"/>
    <w:rsid w:val="00F26DDF"/>
    <w:rsid w:val="00F309C5"/>
    <w:rsid w:val="00F379AD"/>
    <w:rsid w:val="00F40C3B"/>
    <w:rsid w:val="00F42A2A"/>
    <w:rsid w:val="00F45D87"/>
    <w:rsid w:val="00F53E54"/>
    <w:rsid w:val="00F76460"/>
    <w:rsid w:val="00F7708F"/>
    <w:rsid w:val="00F77670"/>
    <w:rsid w:val="00F80124"/>
    <w:rsid w:val="00F86569"/>
    <w:rsid w:val="00F87B23"/>
    <w:rsid w:val="00F91E20"/>
    <w:rsid w:val="00FB1233"/>
    <w:rsid w:val="00FB600C"/>
    <w:rsid w:val="00FC3B91"/>
    <w:rsid w:val="00FC3D42"/>
    <w:rsid w:val="00FD0585"/>
    <w:rsid w:val="00FD0C2E"/>
    <w:rsid w:val="00FE0A3C"/>
    <w:rsid w:val="00FE6899"/>
    <w:rsid w:val="00FF4706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oNotEmbedSmartTags/>
  <w:decimalSymbol w:val=","/>
  <w:listSeparator w:val=";"/>
  <w14:docId w14:val="68BE747B"/>
  <w15:docId w15:val="{B9F921CD-F54E-4D59-AABD-8CA658D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E4C"/>
    <w:pPr>
      <w:widowControl w:val="0"/>
      <w:suppressAutoHyphens/>
      <w:spacing w:after="240" w:line="300" w:lineRule="auto"/>
    </w:pPr>
    <w:rPr>
      <w:rFonts w:ascii="Calibri" w:eastAsia="SimSun" w:hAnsi="Calibri" w:cs="Mangal"/>
      <w:kern w:val="1"/>
      <w:sz w:val="22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E7A13"/>
    <w:pPr>
      <w:keepNext/>
      <w:keepLines/>
      <w:numPr>
        <w:numId w:val="23"/>
      </w:numPr>
      <w:ind w:left="714" w:hanging="357"/>
      <w:outlineLvl w:val="0"/>
    </w:pPr>
    <w:rPr>
      <w:rFonts w:eastAsiaTheme="majorEastAsia" w:cs="Open Sans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dobe Arabic" w:hAnsi="Adobe Arabic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dobe Arabic" w:hAnsi="Adobe Arabic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ListLabel1">
    <w:name w:val="ListLabel 1"/>
    <w:rPr>
      <w:rFonts w:cs="Courier New"/>
    </w:rPr>
  </w:style>
  <w:style w:type="character" w:customStyle="1" w:styleId="Domylnaczcionkaakapitu2">
    <w:name w:val="Domyślna czcionka akapitu2"/>
  </w:style>
  <w:style w:type="character" w:customStyle="1" w:styleId="Odwoanieprzypisudolnego1">
    <w:name w:val="Odwołanie przypisu dolnego1"/>
    <w:basedOn w:val="Domylnaczcionkaakapitu2"/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rzypisudolnego1">
    <w:name w:val="Tekst przypisu dolnego1"/>
    <w:basedOn w:val="Normalny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val="en-GB" w:eastAsia="hi-IN" w:bidi="hi-IN"/>
    </w:rPr>
  </w:style>
  <w:style w:type="paragraph" w:customStyle="1" w:styleId="BasicParagraph">
    <w:name w:val="[Basic Paragraph]"/>
    <w:basedOn w:val="NoParagraphStyle"/>
  </w:style>
  <w:style w:type="paragraph" w:styleId="Nagwek">
    <w:name w:val="header"/>
    <w:basedOn w:val="Normalny"/>
    <w:link w:val="NagwekZnak"/>
    <w:uiPriority w:val="99"/>
    <w:unhideWhenUsed/>
    <w:rsid w:val="00BA4D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A4D30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A4D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A4D30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D30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A4D3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B151E9"/>
    <w:pPr>
      <w:widowControl/>
      <w:numPr>
        <w:numId w:val="26"/>
      </w:numPr>
      <w:suppressAutoHyphens w:val="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FontStyle12">
    <w:name w:val="Font Style12"/>
    <w:basedOn w:val="Domylnaczcionkaakapitu"/>
    <w:uiPriority w:val="99"/>
    <w:rsid w:val="00D92535"/>
    <w:rPr>
      <w:rFonts w:ascii="Franklin Gothic Medium" w:hAnsi="Franklin Gothic Medium" w:cs="Franklin Gothic Medium"/>
      <w:sz w:val="18"/>
      <w:szCs w:val="18"/>
    </w:rPr>
  </w:style>
  <w:style w:type="paragraph" w:customStyle="1" w:styleId="Style5">
    <w:name w:val="Style5"/>
    <w:basedOn w:val="Normalny"/>
    <w:uiPriority w:val="99"/>
    <w:rsid w:val="002860EF"/>
    <w:pPr>
      <w:suppressAutoHyphens w:val="0"/>
      <w:autoSpaceDE w:val="0"/>
      <w:autoSpaceDN w:val="0"/>
      <w:adjustRightInd w:val="0"/>
      <w:spacing w:line="197" w:lineRule="exact"/>
      <w:ind w:hanging="346"/>
      <w:jc w:val="both"/>
    </w:pPr>
    <w:rPr>
      <w:rFonts w:eastAsiaTheme="minorEastAsia" w:cs="Times New Roman"/>
      <w:kern w:val="0"/>
      <w:lang w:eastAsia="pl-PL" w:bidi="ar-SA"/>
    </w:rPr>
  </w:style>
  <w:style w:type="paragraph" w:customStyle="1" w:styleId="ww-tekstpodstawowywcity3">
    <w:name w:val="ww-tekstpodstawowywcity3"/>
    <w:basedOn w:val="Normalny"/>
    <w:rsid w:val="002860EF"/>
    <w:pPr>
      <w:widowControl/>
      <w:suppressAutoHyphens w:val="0"/>
      <w:ind w:left="900" w:hanging="540"/>
      <w:jc w:val="both"/>
    </w:pPr>
    <w:rPr>
      <w:rFonts w:ascii="Century Gothic" w:eastAsia="Times New Roman" w:hAnsi="Century Gothic" w:cs="Times New Roman"/>
      <w:kern w:val="0"/>
      <w:lang w:eastAsia="pl-PL" w:bidi="ar-SA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2158CD"/>
    <w:pPr>
      <w:contextualSpacing/>
    </w:pPr>
    <w:rPr>
      <w:rFonts w:eastAsiaTheme="majorEastAsia"/>
      <w:spacing w:val="-10"/>
      <w:kern w:val="28"/>
      <w:sz w:val="28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2158CD"/>
    <w:rPr>
      <w:rFonts w:ascii="Calibri" w:eastAsiaTheme="majorEastAsia" w:hAnsi="Calibri" w:cs="Mangal"/>
      <w:spacing w:val="-10"/>
      <w:kern w:val="28"/>
      <w:sz w:val="28"/>
      <w:szCs w:val="50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E7A13"/>
    <w:rPr>
      <w:rFonts w:ascii="Calibri" w:eastAsiaTheme="majorEastAsia" w:hAnsi="Calibri" w:cs="Open Sans"/>
      <w:b/>
      <w:bCs/>
      <w:kern w:val="1"/>
      <w:sz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B151E9"/>
    <w:rPr>
      <w:rFonts w:ascii="Calibri" w:hAnsi="Calibri"/>
      <w:sz w:val="22"/>
      <w:szCs w:val="24"/>
    </w:rPr>
  </w:style>
  <w:style w:type="character" w:styleId="Tekstzastpczy">
    <w:name w:val="Placeholder Text"/>
    <w:basedOn w:val="Domylnaczcionkaakapitu"/>
    <w:uiPriority w:val="99"/>
    <w:semiHidden/>
    <w:rsid w:val="00DB78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BBFA-3691-41AF-B8FD-56E14A88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Hewlett-Packard Company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Marek Piwowarski</dc:creator>
  <cp:lastModifiedBy>Stokowska-Puchalska Magdalena</cp:lastModifiedBy>
  <cp:revision>3</cp:revision>
  <cp:lastPrinted>2021-10-18T09:25:00Z</cp:lastPrinted>
  <dcterms:created xsi:type="dcterms:W3CDTF">2021-11-18T12:12:00Z</dcterms:created>
  <dcterms:modified xsi:type="dcterms:W3CDTF">2021-11-18T14:28:00Z</dcterms:modified>
</cp:coreProperties>
</file>